
<file path=[Content_Types].xml><?xml version="1.0" encoding="utf-8"?>
<Types xmlns="http://schemas.openxmlformats.org/package/2006/content-types">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6C5D" w:rsidRDefault="00E56C5D" w:rsidP="00E56C5D">
      <w:pPr>
        <w:jc w:val="both"/>
      </w:pPr>
      <w:bookmarkStart w:id="0" w:name="_GoBack"/>
      <w:bookmarkEnd w:id="0"/>
      <w:r>
        <w:rPr>
          <w:noProof/>
          <w:lang w:val="es-CL" w:eastAsia="es-CL"/>
        </w:rPr>
        <w:drawing>
          <wp:anchor distT="0" distB="0" distL="114300" distR="114300" simplePos="0" relativeHeight="251661312" behindDoc="0" locked="0" layoutInCell="1" allowOverlap="1">
            <wp:simplePos x="0" y="0"/>
            <wp:positionH relativeFrom="column">
              <wp:posOffset>1567815</wp:posOffset>
            </wp:positionH>
            <wp:positionV relativeFrom="paragraph">
              <wp:posOffset>33655</wp:posOffset>
            </wp:positionV>
            <wp:extent cx="1071245" cy="436245"/>
            <wp:effectExtent l="0" t="0" r="0" b="1905"/>
            <wp:wrapNone/>
            <wp:docPr id="2" name="Imagen 5" descr="F:\Corfo Road Map\Cartas.Docus varios\CEARS.mma.Imagina. Corfo Logo\Logo Corfo Nue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rfo Road Map\Cartas.Docus varios\CEARS.mma.Imagina. Corfo Logo\Logo Corfo Nuev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71245" cy="436245"/>
                    </a:xfrm>
                    <a:prstGeom prst="rect">
                      <a:avLst/>
                    </a:prstGeom>
                    <a:noFill/>
                    <a:ln>
                      <a:noFill/>
                    </a:ln>
                  </pic:spPr>
                </pic:pic>
              </a:graphicData>
            </a:graphic>
          </wp:anchor>
        </w:drawing>
      </w:r>
      <w:r>
        <w:rPr>
          <w:noProof/>
          <w:lang w:val="es-CL" w:eastAsia="es-CL"/>
        </w:rPr>
        <w:drawing>
          <wp:anchor distT="0" distB="0" distL="114300" distR="114300" simplePos="0" relativeHeight="251662336" behindDoc="1" locked="0" layoutInCell="1" allowOverlap="1">
            <wp:simplePos x="0" y="0"/>
            <wp:positionH relativeFrom="column">
              <wp:posOffset>3263265</wp:posOffset>
            </wp:positionH>
            <wp:positionV relativeFrom="paragraph">
              <wp:posOffset>-41406</wp:posOffset>
            </wp:positionV>
            <wp:extent cx="753745" cy="676275"/>
            <wp:effectExtent l="0" t="0" r="8255" b="9525"/>
            <wp:wrapNone/>
            <wp:docPr id="16" name="il_fi" descr="https://twimg0-a.akamaihd.net/profile_images/1205559710/Logo_mma-twi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twimg0-a.akamaihd.net/profile_images/1205559710/Logo_mma-twitte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3745" cy="676275"/>
                    </a:xfrm>
                    <a:prstGeom prst="rect">
                      <a:avLst/>
                    </a:prstGeom>
                    <a:noFill/>
                    <a:ln>
                      <a:noFill/>
                    </a:ln>
                  </pic:spPr>
                </pic:pic>
              </a:graphicData>
            </a:graphic>
          </wp:anchor>
        </w:drawing>
      </w:r>
      <w:r>
        <w:rPr>
          <w:noProof/>
          <w:lang w:val="es-CL" w:eastAsia="es-CL"/>
        </w:rPr>
        <w:drawing>
          <wp:anchor distT="0" distB="0" distL="114300" distR="114300" simplePos="0" relativeHeight="251660288" behindDoc="0" locked="0" layoutInCell="1" allowOverlap="1">
            <wp:simplePos x="0" y="0"/>
            <wp:positionH relativeFrom="column">
              <wp:posOffset>4320540</wp:posOffset>
            </wp:positionH>
            <wp:positionV relativeFrom="paragraph">
              <wp:posOffset>-254000</wp:posOffset>
            </wp:positionV>
            <wp:extent cx="1421765" cy="884555"/>
            <wp:effectExtent l="0" t="0" r="6985" b="0"/>
            <wp:wrapNone/>
            <wp:docPr id="17" name="Imagen 2" descr="logo CEA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Imagen" descr="logo CEARS.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21765" cy="884555"/>
                    </a:xfrm>
                    <a:prstGeom prst="rect">
                      <a:avLst/>
                    </a:prstGeom>
                    <a:noFill/>
                    <a:ln>
                      <a:noFill/>
                    </a:ln>
                  </pic:spPr>
                </pic:pic>
              </a:graphicData>
            </a:graphic>
          </wp:anchor>
        </w:drawing>
      </w:r>
      <w:r>
        <w:rPr>
          <w:b/>
          <w:noProof/>
          <w:sz w:val="20"/>
          <w:szCs w:val="20"/>
          <w:lang w:val="es-CL" w:eastAsia="es-CL"/>
        </w:rPr>
        <w:drawing>
          <wp:anchor distT="0" distB="0" distL="114300" distR="114300" simplePos="0" relativeHeight="251659264" behindDoc="0" locked="0" layoutInCell="1" allowOverlap="1">
            <wp:simplePos x="0" y="0"/>
            <wp:positionH relativeFrom="column">
              <wp:posOffset>129540</wp:posOffset>
            </wp:positionH>
            <wp:positionV relativeFrom="paragraph">
              <wp:posOffset>33020</wp:posOffset>
            </wp:positionV>
            <wp:extent cx="1031875" cy="502920"/>
            <wp:effectExtent l="0" t="0" r="0" b="0"/>
            <wp:wrapNone/>
            <wp:docPr id="18" name="Imagen 7" descr="F:\Corfo Road Map\Cartas.Docus varios\CEARS.mma.Imagina. Corfo Logo\Marca USM colo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Corfo Road Map\Cartas.Docus varios\CEARS.mma.Imagina. Corfo Logo\Marca USM color.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31875" cy="502920"/>
                    </a:xfrm>
                    <a:prstGeom prst="rect">
                      <a:avLst/>
                    </a:prstGeom>
                    <a:noFill/>
                    <a:ln>
                      <a:noFill/>
                    </a:ln>
                  </pic:spPr>
                </pic:pic>
              </a:graphicData>
            </a:graphic>
          </wp:anchor>
        </w:drawing>
      </w: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Pr="00B243F4" w:rsidRDefault="00E56C5D" w:rsidP="00E56C5D">
      <w:pPr>
        <w:jc w:val="center"/>
        <w:rPr>
          <w:rFonts w:asciiTheme="majorHAnsi" w:eastAsiaTheme="majorEastAsia" w:hAnsiTheme="majorHAnsi" w:cstheme="majorBidi"/>
          <w:spacing w:val="5"/>
          <w:kern w:val="28"/>
          <w:sz w:val="48"/>
          <w:szCs w:val="52"/>
        </w:rPr>
      </w:pPr>
      <w:r w:rsidRPr="00B243F4">
        <w:rPr>
          <w:rFonts w:asciiTheme="majorHAnsi" w:eastAsiaTheme="majorEastAsia" w:hAnsiTheme="majorHAnsi" w:cstheme="majorBidi"/>
          <w:spacing w:val="5"/>
          <w:kern w:val="28"/>
          <w:sz w:val="48"/>
          <w:szCs w:val="52"/>
        </w:rPr>
        <w:t xml:space="preserve">Resultado </w:t>
      </w:r>
      <w:r>
        <w:rPr>
          <w:rFonts w:asciiTheme="majorHAnsi" w:eastAsiaTheme="majorEastAsia" w:hAnsiTheme="majorHAnsi" w:cstheme="majorBidi"/>
          <w:spacing w:val="5"/>
          <w:kern w:val="28"/>
          <w:sz w:val="48"/>
          <w:szCs w:val="52"/>
        </w:rPr>
        <w:t>1</w:t>
      </w:r>
    </w:p>
    <w:p w:rsidR="00E56C5D" w:rsidRPr="002529EF" w:rsidRDefault="00E56C5D" w:rsidP="00E56C5D">
      <w:pPr>
        <w:jc w:val="both"/>
        <w:rPr>
          <w:sz w:val="20"/>
        </w:rPr>
      </w:pPr>
    </w:p>
    <w:p w:rsidR="00E56C5D" w:rsidRDefault="00E56C5D" w:rsidP="00E56C5D">
      <w:pPr>
        <w:pStyle w:val="Subttulo"/>
        <w:pBdr>
          <w:bottom w:val="single" w:sz="4" w:space="1" w:color="auto"/>
        </w:pBdr>
        <w:jc w:val="center"/>
        <w:rPr>
          <w:i w:val="0"/>
          <w:iCs w:val="0"/>
          <w:color w:val="auto"/>
          <w:spacing w:val="5"/>
          <w:kern w:val="28"/>
          <w:sz w:val="48"/>
          <w:szCs w:val="52"/>
        </w:rPr>
      </w:pPr>
      <w:r w:rsidRPr="00E56C5D">
        <w:rPr>
          <w:i w:val="0"/>
          <w:iCs w:val="0"/>
          <w:color w:val="auto"/>
          <w:spacing w:val="5"/>
          <w:kern w:val="28"/>
          <w:sz w:val="48"/>
          <w:szCs w:val="52"/>
        </w:rPr>
        <w:t xml:space="preserve">Informe Estado Situación actual de tecnologías de Gestión en Residuos sólidos domiciliarios </w:t>
      </w:r>
    </w:p>
    <w:p w:rsidR="00E56C5D" w:rsidRPr="006C1469" w:rsidRDefault="00E56C5D" w:rsidP="00E56C5D">
      <w:pPr>
        <w:pStyle w:val="Subttulo"/>
        <w:jc w:val="center"/>
        <w:rPr>
          <w:color w:val="auto"/>
          <w:sz w:val="36"/>
        </w:rPr>
      </w:pPr>
      <w:r w:rsidRPr="004838E1">
        <w:rPr>
          <w:color w:val="auto"/>
        </w:rPr>
        <w:t xml:space="preserve">en el marco del proyecto: </w:t>
      </w:r>
      <w:r w:rsidRPr="004838E1">
        <w:rPr>
          <w:color w:val="auto"/>
          <w:sz w:val="36"/>
        </w:rPr>
        <w:t xml:space="preserve">“Mapa Tecnológico Estratégico para el Mejoramiento de la Gestión de los RSD en Chile” </w:t>
      </w:r>
      <w:r w:rsidRPr="004838E1">
        <w:rPr>
          <w:color w:val="auto"/>
          <w:sz w:val="32"/>
        </w:rPr>
        <w:t>12BPC – 13417</w:t>
      </w:r>
    </w:p>
    <w:p w:rsidR="00E56C5D" w:rsidRDefault="00E56C5D" w:rsidP="00E56C5D">
      <w:pPr>
        <w:pStyle w:val="Subttulo"/>
        <w:jc w:val="center"/>
        <w:rPr>
          <w:i w:val="0"/>
          <w:iCs w:val="0"/>
          <w:color w:val="auto"/>
          <w:spacing w:val="5"/>
          <w:kern w:val="28"/>
          <w:sz w:val="48"/>
          <w:szCs w:val="52"/>
        </w:rPr>
      </w:pPr>
    </w:p>
    <w:p w:rsidR="00E56C5D" w:rsidRPr="006C1469" w:rsidRDefault="00E56C5D" w:rsidP="00E56C5D">
      <w:pPr>
        <w:pStyle w:val="Subttulo"/>
        <w:jc w:val="center"/>
        <w:rPr>
          <w:color w:val="auto"/>
          <w:sz w:val="36"/>
        </w:rPr>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Default="00E56C5D" w:rsidP="00E56C5D">
      <w:pPr>
        <w:jc w:val="both"/>
      </w:pPr>
    </w:p>
    <w:p w:rsidR="00E56C5D" w:rsidRPr="004838E1" w:rsidRDefault="00E56C5D" w:rsidP="00E56C5D">
      <w:pPr>
        <w:jc w:val="center"/>
        <w:rPr>
          <w:i/>
          <w:sz w:val="24"/>
        </w:rPr>
      </w:pPr>
      <w:r>
        <w:rPr>
          <w:i/>
          <w:sz w:val="24"/>
        </w:rPr>
        <w:t>V</w:t>
      </w:r>
      <w:r w:rsidRPr="004838E1">
        <w:rPr>
          <w:i/>
          <w:sz w:val="24"/>
        </w:rPr>
        <w:t xml:space="preserve">alparaíso,  </w:t>
      </w:r>
      <w:r>
        <w:rPr>
          <w:i/>
          <w:sz w:val="24"/>
        </w:rPr>
        <w:t>octubre</w:t>
      </w:r>
      <w:r w:rsidRPr="004838E1">
        <w:rPr>
          <w:i/>
          <w:sz w:val="24"/>
        </w:rPr>
        <w:t xml:space="preserve"> 201</w:t>
      </w:r>
      <w:r>
        <w:rPr>
          <w:i/>
          <w:sz w:val="24"/>
        </w:rPr>
        <w:t>3</w:t>
      </w:r>
    </w:p>
    <w:p w:rsidR="00E56C5D" w:rsidRDefault="00E56C5D">
      <w:pPr>
        <w:spacing w:after="200" w:line="276" w:lineRule="auto"/>
        <w:rPr>
          <w:rFonts w:asciiTheme="minorHAnsi" w:hAnsiTheme="minorHAnsi"/>
          <w:sz w:val="24"/>
        </w:rPr>
      </w:pPr>
      <w:r>
        <w:rPr>
          <w:rFonts w:asciiTheme="minorHAnsi" w:hAnsiTheme="minorHAnsi"/>
          <w:sz w:val="24"/>
        </w:rPr>
        <w:br w:type="page"/>
      </w:r>
    </w:p>
    <w:sdt>
      <w:sdtPr>
        <w:rPr>
          <w:rFonts w:asciiTheme="minorHAnsi" w:eastAsiaTheme="minorHAnsi" w:hAnsiTheme="minorHAnsi" w:cstheme="minorBidi"/>
          <w:b w:val="0"/>
          <w:bCs w:val="0"/>
          <w:color w:val="auto"/>
          <w:sz w:val="22"/>
          <w:szCs w:val="22"/>
          <w:lang w:val="es-ES" w:eastAsia="en-US"/>
        </w:rPr>
        <w:id w:val="1898477018"/>
        <w:docPartObj>
          <w:docPartGallery w:val="Table of Contents"/>
          <w:docPartUnique/>
        </w:docPartObj>
      </w:sdtPr>
      <w:sdtEndPr>
        <w:rPr>
          <w:rFonts w:ascii="Arial" w:eastAsia="Times New Roman" w:hAnsi="Arial" w:cs="Arial"/>
          <w:lang w:eastAsia="es-ES"/>
        </w:rPr>
      </w:sdtEndPr>
      <w:sdtContent>
        <w:p w:rsidR="00E56C5D" w:rsidRDefault="00E56C5D" w:rsidP="00E56C5D">
          <w:pPr>
            <w:pStyle w:val="TtulodeTDC"/>
            <w:rPr>
              <w:color w:val="auto"/>
              <w:lang w:val="es-ES"/>
            </w:rPr>
          </w:pPr>
          <w:r>
            <w:rPr>
              <w:color w:val="auto"/>
              <w:lang w:val="es-ES"/>
            </w:rPr>
            <w:t>Índice</w:t>
          </w:r>
        </w:p>
        <w:p w:rsidR="00D61157" w:rsidRDefault="00E56C5D">
          <w:pPr>
            <w:pStyle w:val="TDC2"/>
            <w:tabs>
              <w:tab w:val="right" w:leader="dot" w:pos="8494"/>
            </w:tabs>
            <w:rPr>
              <w:rFonts w:eastAsiaTheme="minorEastAsia"/>
              <w:noProof/>
              <w:lang w:eastAsia="es-CL"/>
            </w:rPr>
          </w:pPr>
          <w:r>
            <w:fldChar w:fldCharType="begin"/>
          </w:r>
          <w:r>
            <w:instrText xml:space="preserve"> TOC \o "1-3" \h \z \u </w:instrText>
          </w:r>
          <w:r>
            <w:fldChar w:fldCharType="separate"/>
          </w:r>
          <w:hyperlink w:anchor="_Toc405237621" w:history="1">
            <w:r w:rsidR="00D61157" w:rsidRPr="00F562DD">
              <w:rPr>
                <w:rStyle w:val="Hipervnculo"/>
                <w:noProof/>
              </w:rPr>
              <w:t>Índice de Tablas</w:t>
            </w:r>
            <w:r w:rsidR="00D61157">
              <w:rPr>
                <w:noProof/>
                <w:webHidden/>
              </w:rPr>
              <w:tab/>
            </w:r>
            <w:r w:rsidR="00D61157">
              <w:rPr>
                <w:noProof/>
                <w:webHidden/>
              </w:rPr>
              <w:fldChar w:fldCharType="begin"/>
            </w:r>
            <w:r w:rsidR="00D61157">
              <w:rPr>
                <w:noProof/>
                <w:webHidden/>
              </w:rPr>
              <w:instrText xml:space="preserve"> PAGEREF _Toc405237621 \h </w:instrText>
            </w:r>
            <w:r w:rsidR="00D61157">
              <w:rPr>
                <w:noProof/>
                <w:webHidden/>
              </w:rPr>
            </w:r>
            <w:r w:rsidR="00D61157">
              <w:rPr>
                <w:noProof/>
                <w:webHidden/>
              </w:rPr>
              <w:fldChar w:fldCharType="separate"/>
            </w:r>
            <w:r w:rsidR="00D61157">
              <w:rPr>
                <w:noProof/>
                <w:webHidden/>
              </w:rPr>
              <w:t>3</w:t>
            </w:r>
            <w:r w:rsidR="00D61157">
              <w:rPr>
                <w:noProof/>
                <w:webHidden/>
              </w:rPr>
              <w:fldChar w:fldCharType="end"/>
            </w:r>
          </w:hyperlink>
        </w:p>
        <w:p w:rsidR="00D61157" w:rsidRDefault="00E733CF">
          <w:pPr>
            <w:pStyle w:val="TDC2"/>
            <w:tabs>
              <w:tab w:val="right" w:leader="dot" w:pos="8494"/>
            </w:tabs>
            <w:rPr>
              <w:rFonts w:eastAsiaTheme="minorEastAsia"/>
              <w:noProof/>
              <w:lang w:eastAsia="es-CL"/>
            </w:rPr>
          </w:pPr>
          <w:hyperlink w:anchor="_Toc405237622" w:history="1">
            <w:r w:rsidR="00D61157" w:rsidRPr="00F562DD">
              <w:rPr>
                <w:rStyle w:val="Hipervnculo"/>
                <w:noProof/>
              </w:rPr>
              <w:t>Índice de Figuras</w:t>
            </w:r>
            <w:r w:rsidR="00D61157">
              <w:rPr>
                <w:noProof/>
                <w:webHidden/>
              </w:rPr>
              <w:tab/>
            </w:r>
            <w:r w:rsidR="00D61157">
              <w:rPr>
                <w:noProof/>
                <w:webHidden/>
              </w:rPr>
              <w:fldChar w:fldCharType="begin"/>
            </w:r>
            <w:r w:rsidR="00D61157">
              <w:rPr>
                <w:noProof/>
                <w:webHidden/>
              </w:rPr>
              <w:instrText xml:space="preserve"> PAGEREF _Toc405237622 \h </w:instrText>
            </w:r>
            <w:r w:rsidR="00D61157">
              <w:rPr>
                <w:noProof/>
                <w:webHidden/>
              </w:rPr>
            </w:r>
            <w:r w:rsidR="00D61157">
              <w:rPr>
                <w:noProof/>
                <w:webHidden/>
              </w:rPr>
              <w:fldChar w:fldCharType="separate"/>
            </w:r>
            <w:r w:rsidR="00D61157">
              <w:rPr>
                <w:noProof/>
                <w:webHidden/>
              </w:rPr>
              <w:t>3</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23" w:history="1">
            <w:r w:rsidR="00D61157" w:rsidRPr="00F562DD">
              <w:rPr>
                <w:rStyle w:val="Hipervnculo"/>
                <w:noProof/>
              </w:rPr>
              <w:t>1</w:t>
            </w:r>
            <w:r w:rsidR="00D61157">
              <w:rPr>
                <w:rFonts w:eastAsiaTheme="minorEastAsia"/>
                <w:noProof/>
                <w:lang w:eastAsia="es-CL"/>
              </w:rPr>
              <w:tab/>
            </w:r>
            <w:r w:rsidR="00D61157" w:rsidRPr="00F562DD">
              <w:rPr>
                <w:rStyle w:val="Hipervnculo"/>
                <w:noProof/>
              </w:rPr>
              <w:t>Introducción.</w:t>
            </w:r>
            <w:r w:rsidR="00D61157">
              <w:rPr>
                <w:noProof/>
                <w:webHidden/>
              </w:rPr>
              <w:tab/>
            </w:r>
            <w:r w:rsidR="00D61157">
              <w:rPr>
                <w:noProof/>
                <w:webHidden/>
              </w:rPr>
              <w:fldChar w:fldCharType="begin"/>
            </w:r>
            <w:r w:rsidR="00D61157">
              <w:rPr>
                <w:noProof/>
                <w:webHidden/>
              </w:rPr>
              <w:instrText xml:space="preserve"> PAGEREF _Toc405237623 \h </w:instrText>
            </w:r>
            <w:r w:rsidR="00D61157">
              <w:rPr>
                <w:noProof/>
                <w:webHidden/>
              </w:rPr>
            </w:r>
            <w:r w:rsidR="00D61157">
              <w:rPr>
                <w:noProof/>
                <w:webHidden/>
              </w:rPr>
              <w:fldChar w:fldCharType="separate"/>
            </w:r>
            <w:r w:rsidR="00D61157">
              <w:rPr>
                <w:noProof/>
                <w:webHidden/>
              </w:rPr>
              <w:t>4</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24" w:history="1">
            <w:r w:rsidR="00D61157" w:rsidRPr="00F562DD">
              <w:rPr>
                <w:rStyle w:val="Hipervnculo"/>
                <w:noProof/>
              </w:rPr>
              <w:t>2</w:t>
            </w:r>
            <w:r w:rsidR="00D61157">
              <w:rPr>
                <w:rFonts w:eastAsiaTheme="minorEastAsia"/>
                <w:noProof/>
                <w:lang w:eastAsia="es-CL"/>
              </w:rPr>
              <w:tab/>
            </w:r>
            <w:r w:rsidR="00D61157" w:rsidRPr="00F562DD">
              <w:rPr>
                <w:rStyle w:val="Hipervnculo"/>
                <w:noProof/>
              </w:rPr>
              <w:t>Conceptualización de la cadena de gestión de RSD</w:t>
            </w:r>
            <w:r w:rsidR="00D61157">
              <w:rPr>
                <w:noProof/>
                <w:webHidden/>
              </w:rPr>
              <w:tab/>
            </w:r>
            <w:r w:rsidR="00D61157">
              <w:rPr>
                <w:noProof/>
                <w:webHidden/>
              </w:rPr>
              <w:fldChar w:fldCharType="begin"/>
            </w:r>
            <w:r w:rsidR="00D61157">
              <w:rPr>
                <w:noProof/>
                <w:webHidden/>
              </w:rPr>
              <w:instrText xml:space="preserve"> PAGEREF _Toc405237624 \h </w:instrText>
            </w:r>
            <w:r w:rsidR="00D61157">
              <w:rPr>
                <w:noProof/>
                <w:webHidden/>
              </w:rPr>
            </w:r>
            <w:r w:rsidR="00D61157">
              <w:rPr>
                <w:noProof/>
                <w:webHidden/>
              </w:rPr>
              <w:fldChar w:fldCharType="separate"/>
            </w:r>
            <w:r w:rsidR="00D61157">
              <w:rPr>
                <w:noProof/>
                <w:webHidden/>
              </w:rPr>
              <w:t>5</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25" w:history="1">
            <w:r w:rsidR="00D61157" w:rsidRPr="00F562DD">
              <w:rPr>
                <w:rStyle w:val="Hipervnculo"/>
                <w:noProof/>
              </w:rPr>
              <w:t>3</w:t>
            </w:r>
            <w:r w:rsidR="00D61157">
              <w:rPr>
                <w:rFonts w:eastAsiaTheme="minorEastAsia"/>
                <w:noProof/>
                <w:lang w:eastAsia="es-CL"/>
              </w:rPr>
              <w:tab/>
            </w:r>
            <w:r w:rsidR="00D61157" w:rsidRPr="00F562DD">
              <w:rPr>
                <w:rStyle w:val="Hipervnculo"/>
                <w:noProof/>
              </w:rPr>
              <w:t>Catastro de tecnologías aplicables a la Gestión de RSD.</w:t>
            </w:r>
            <w:r w:rsidR="00D61157">
              <w:rPr>
                <w:noProof/>
                <w:webHidden/>
              </w:rPr>
              <w:tab/>
            </w:r>
            <w:r w:rsidR="00D61157">
              <w:rPr>
                <w:noProof/>
                <w:webHidden/>
              </w:rPr>
              <w:fldChar w:fldCharType="begin"/>
            </w:r>
            <w:r w:rsidR="00D61157">
              <w:rPr>
                <w:noProof/>
                <w:webHidden/>
              </w:rPr>
              <w:instrText xml:space="preserve"> PAGEREF _Toc405237625 \h </w:instrText>
            </w:r>
            <w:r w:rsidR="00D61157">
              <w:rPr>
                <w:noProof/>
                <w:webHidden/>
              </w:rPr>
            </w:r>
            <w:r w:rsidR="00D61157">
              <w:rPr>
                <w:noProof/>
                <w:webHidden/>
              </w:rPr>
              <w:fldChar w:fldCharType="separate"/>
            </w:r>
            <w:r w:rsidR="00D61157">
              <w:rPr>
                <w:noProof/>
                <w:webHidden/>
              </w:rPr>
              <w:t>6</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26" w:history="1">
            <w:r w:rsidR="00D61157" w:rsidRPr="00F562DD">
              <w:rPr>
                <w:rStyle w:val="Hipervnculo"/>
                <w:noProof/>
              </w:rPr>
              <w:t>4</w:t>
            </w:r>
            <w:r w:rsidR="00D61157">
              <w:rPr>
                <w:rFonts w:eastAsiaTheme="minorEastAsia"/>
                <w:noProof/>
                <w:lang w:eastAsia="es-CL"/>
              </w:rPr>
              <w:tab/>
            </w:r>
            <w:r w:rsidR="00D61157" w:rsidRPr="00F562DD">
              <w:rPr>
                <w:rStyle w:val="Hipervnculo"/>
                <w:noProof/>
              </w:rPr>
              <w:t>Resultados</w:t>
            </w:r>
            <w:r w:rsidR="00D61157">
              <w:rPr>
                <w:noProof/>
                <w:webHidden/>
              </w:rPr>
              <w:tab/>
            </w:r>
            <w:r w:rsidR="00D61157">
              <w:rPr>
                <w:noProof/>
                <w:webHidden/>
              </w:rPr>
              <w:fldChar w:fldCharType="begin"/>
            </w:r>
            <w:r w:rsidR="00D61157">
              <w:rPr>
                <w:noProof/>
                <w:webHidden/>
              </w:rPr>
              <w:instrText xml:space="preserve"> PAGEREF _Toc405237626 \h </w:instrText>
            </w:r>
            <w:r w:rsidR="00D61157">
              <w:rPr>
                <w:noProof/>
                <w:webHidden/>
              </w:rPr>
            </w:r>
            <w:r w:rsidR="00D61157">
              <w:rPr>
                <w:noProof/>
                <w:webHidden/>
              </w:rPr>
              <w:fldChar w:fldCharType="separate"/>
            </w:r>
            <w:r w:rsidR="00D61157">
              <w:rPr>
                <w:noProof/>
                <w:webHidden/>
              </w:rPr>
              <w:t>11</w:t>
            </w:r>
            <w:r w:rsidR="00D61157">
              <w:rPr>
                <w:noProof/>
                <w:webHidden/>
              </w:rPr>
              <w:fldChar w:fldCharType="end"/>
            </w:r>
          </w:hyperlink>
        </w:p>
        <w:p w:rsidR="00D61157" w:rsidRDefault="00E733CF">
          <w:pPr>
            <w:pStyle w:val="TDC2"/>
            <w:tabs>
              <w:tab w:val="left" w:pos="880"/>
              <w:tab w:val="right" w:leader="dot" w:pos="8494"/>
            </w:tabs>
            <w:rPr>
              <w:rFonts w:eastAsiaTheme="minorEastAsia"/>
              <w:noProof/>
              <w:lang w:eastAsia="es-CL"/>
            </w:rPr>
          </w:pPr>
          <w:hyperlink w:anchor="_Toc405237627" w:history="1">
            <w:r w:rsidR="00D61157" w:rsidRPr="00F562DD">
              <w:rPr>
                <w:rStyle w:val="Hipervnculo"/>
                <w:noProof/>
              </w:rPr>
              <w:t>4.1</w:t>
            </w:r>
            <w:r w:rsidR="00D61157">
              <w:rPr>
                <w:rFonts w:eastAsiaTheme="minorEastAsia"/>
                <w:noProof/>
                <w:lang w:eastAsia="es-CL"/>
              </w:rPr>
              <w:tab/>
            </w:r>
            <w:r w:rsidR="00D61157" w:rsidRPr="00F562DD">
              <w:rPr>
                <w:rStyle w:val="Hipervnculo"/>
                <w:noProof/>
              </w:rPr>
              <w:t>Destino de los residuos sólidos</w:t>
            </w:r>
            <w:r w:rsidR="00D61157">
              <w:rPr>
                <w:noProof/>
                <w:webHidden/>
              </w:rPr>
              <w:tab/>
            </w:r>
            <w:r w:rsidR="00D61157">
              <w:rPr>
                <w:noProof/>
                <w:webHidden/>
              </w:rPr>
              <w:fldChar w:fldCharType="begin"/>
            </w:r>
            <w:r w:rsidR="00D61157">
              <w:rPr>
                <w:noProof/>
                <w:webHidden/>
              </w:rPr>
              <w:instrText xml:space="preserve"> PAGEREF _Toc405237627 \h </w:instrText>
            </w:r>
            <w:r w:rsidR="00D61157">
              <w:rPr>
                <w:noProof/>
                <w:webHidden/>
              </w:rPr>
            </w:r>
            <w:r w:rsidR="00D61157">
              <w:rPr>
                <w:noProof/>
                <w:webHidden/>
              </w:rPr>
              <w:fldChar w:fldCharType="separate"/>
            </w:r>
            <w:r w:rsidR="00D61157">
              <w:rPr>
                <w:noProof/>
                <w:webHidden/>
              </w:rPr>
              <w:t>11</w:t>
            </w:r>
            <w:r w:rsidR="00D61157">
              <w:rPr>
                <w:noProof/>
                <w:webHidden/>
              </w:rPr>
              <w:fldChar w:fldCharType="end"/>
            </w:r>
          </w:hyperlink>
        </w:p>
        <w:p w:rsidR="00D61157" w:rsidRDefault="00E733CF">
          <w:pPr>
            <w:pStyle w:val="TDC2"/>
            <w:tabs>
              <w:tab w:val="left" w:pos="880"/>
              <w:tab w:val="right" w:leader="dot" w:pos="8494"/>
            </w:tabs>
            <w:rPr>
              <w:rFonts w:eastAsiaTheme="minorEastAsia"/>
              <w:noProof/>
              <w:lang w:eastAsia="es-CL"/>
            </w:rPr>
          </w:pPr>
          <w:hyperlink w:anchor="_Toc405237628" w:history="1">
            <w:r w:rsidR="00D61157" w:rsidRPr="00F562DD">
              <w:rPr>
                <w:rStyle w:val="Hipervnculo"/>
                <w:noProof/>
              </w:rPr>
              <w:t>4.2</w:t>
            </w:r>
            <w:r w:rsidR="00D61157">
              <w:rPr>
                <w:rFonts w:eastAsiaTheme="minorEastAsia"/>
                <w:noProof/>
                <w:lang w:eastAsia="es-CL"/>
              </w:rPr>
              <w:tab/>
            </w:r>
            <w:r w:rsidR="00D61157" w:rsidRPr="00F562DD">
              <w:rPr>
                <w:rStyle w:val="Hipervnculo"/>
                <w:noProof/>
              </w:rPr>
              <w:t>Recolección de los residuos sólidos</w:t>
            </w:r>
            <w:r w:rsidR="00D61157">
              <w:rPr>
                <w:noProof/>
                <w:webHidden/>
              </w:rPr>
              <w:tab/>
            </w:r>
            <w:r w:rsidR="00D61157">
              <w:rPr>
                <w:noProof/>
                <w:webHidden/>
              </w:rPr>
              <w:fldChar w:fldCharType="begin"/>
            </w:r>
            <w:r w:rsidR="00D61157">
              <w:rPr>
                <w:noProof/>
                <w:webHidden/>
              </w:rPr>
              <w:instrText xml:space="preserve"> PAGEREF _Toc405237628 \h </w:instrText>
            </w:r>
            <w:r w:rsidR="00D61157">
              <w:rPr>
                <w:noProof/>
                <w:webHidden/>
              </w:rPr>
            </w:r>
            <w:r w:rsidR="00D61157">
              <w:rPr>
                <w:noProof/>
                <w:webHidden/>
              </w:rPr>
              <w:fldChar w:fldCharType="separate"/>
            </w:r>
            <w:r w:rsidR="00D61157">
              <w:rPr>
                <w:noProof/>
                <w:webHidden/>
              </w:rPr>
              <w:t>12</w:t>
            </w:r>
            <w:r w:rsidR="00D61157">
              <w:rPr>
                <w:noProof/>
                <w:webHidden/>
              </w:rPr>
              <w:fldChar w:fldCharType="end"/>
            </w:r>
          </w:hyperlink>
        </w:p>
        <w:p w:rsidR="00D61157" w:rsidRDefault="00E733CF">
          <w:pPr>
            <w:pStyle w:val="TDC2"/>
            <w:tabs>
              <w:tab w:val="left" w:pos="880"/>
              <w:tab w:val="right" w:leader="dot" w:pos="8494"/>
            </w:tabs>
            <w:rPr>
              <w:rFonts w:eastAsiaTheme="minorEastAsia"/>
              <w:noProof/>
              <w:lang w:eastAsia="es-CL"/>
            </w:rPr>
          </w:pPr>
          <w:hyperlink w:anchor="_Toc405237629" w:history="1">
            <w:r w:rsidR="00D61157" w:rsidRPr="00F562DD">
              <w:rPr>
                <w:rStyle w:val="Hipervnculo"/>
                <w:noProof/>
              </w:rPr>
              <w:t>4.3</w:t>
            </w:r>
            <w:r w:rsidR="00D61157">
              <w:rPr>
                <w:rFonts w:eastAsiaTheme="minorEastAsia"/>
                <w:noProof/>
                <w:lang w:eastAsia="es-CL"/>
              </w:rPr>
              <w:tab/>
            </w:r>
            <w:r w:rsidR="00D61157" w:rsidRPr="00F562DD">
              <w:rPr>
                <w:rStyle w:val="Hipervnculo"/>
                <w:noProof/>
              </w:rPr>
              <w:t>Planes de Gestión</w:t>
            </w:r>
            <w:r w:rsidR="00D61157">
              <w:rPr>
                <w:noProof/>
                <w:webHidden/>
              </w:rPr>
              <w:tab/>
            </w:r>
            <w:r w:rsidR="00D61157">
              <w:rPr>
                <w:noProof/>
                <w:webHidden/>
              </w:rPr>
              <w:fldChar w:fldCharType="begin"/>
            </w:r>
            <w:r w:rsidR="00D61157">
              <w:rPr>
                <w:noProof/>
                <w:webHidden/>
              </w:rPr>
              <w:instrText xml:space="preserve"> PAGEREF _Toc405237629 \h </w:instrText>
            </w:r>
            <w:r w:rsidR="00D61157">
              <w:rPr>
                <w:noProof/>
                <w:webHidden/>
              </w:rPr>
            </w:r>
            <w:r w:rsidR="00D61157">
              <w:rPr>
                <w:noProof/>
                <w:webHidden/>
              </w:rPr>
              <w:fldChar w:fldCharType="separate"/>
            </w:r>
            <w:r w:rsidR="00D61157">
              <w:rPr>
                <w:noProof/>
                <w:webHidden/>
              </w:rPr>
              <w:t>13</w:t>
            </w:r>
            <w:r w:rsidR="00D61157">
              <w:rPr>
                <w:noProof/>
                <w:webHidden/>
              </w:rPr>
              <w:fldChar w:fldCharType="end"/>
            </w:r>
          </w:hyperlink>
        </w:p>
        <w:p w:rsidR="00D61157" w:rsidRDefault="00E733CF">
          <w:pPr>
            <w:pStyle w:val="TDC2"/>
            <w:tabs>
              <w:tab w:val="left" w:pos="880"/>
              <w:tab w:val="right" w:leader="dot" w:pos="8494"/>
            </w:tabs>
            <w:rPr>
              <w:rFonts w:eastAsiaTheme="minorEastAsia"/>
              <w:noProof/>
              <w:lang w:eastAsia="es-CL"/>
            </w:rPr>
          </w:pPr>
          <w:hyperlink w:anchor="_Toc405237630" w:history="1">
            <w:r w:rsidR="00D61157" w:rsidRPr="00F562DD">
              <w:rPr>
                <w:rStyle w:val="Hipervnculo"/>
                <w:noProof/>
              </w:rPr>
              <w:t>4.4</w:t>
            </w:r>
            <w:r w:rsidR="00D61157">
              <w:rPr>
                <w:rFonts w:eastAsiaTheme="minorEastAsia"/>
                <w:noProof/>
                <w:lang w:eastAsia="es-CL"/>
              </w:rPr>
              <w:tab/>
            </w:r>
            <w:r w:rsidR="00D61157" w:rsidRPr="00F562DD">
              <w:rPr>
                <w:rStyle w:val="Hipervnculo"/>
                <w:noProof/>
              </w:rPr>
              <w:t>Caracterización y distribución regional de Municipios</w:t>
            </w:r>
            <w:r w:rsidR="00D61157">
              <w:rPr>
                <w:noProof/>
                <w:webHidden/>
              </w:rPr>
              <w:tab/>
            </w:r>
            <w:r w:rsidR="00D61157">
              <w:rPr>
                <w:noProof/>
                <w:webHidden/>
              </w:rPr>
              <w:fldChar w:fldCharType="begin"/>
            </w:r>
            <w:r w:rsidR="00D61157">
              <w:rPr>
                <w:noProof/>
                <w:webHidden/>
              </w:rPr>
              <w:instrText xml:space="preserve"> PAGEREF _Toc405237630 \h </w:instrText>
            </w:r>
            <w:r w:rsidR="00D61157">
              <w:rPr>
                <w:noProof/>
                <w:webHidden/>
              </w:rPr>
            </w:r>
            <w:r w:rsidR="00D61157">
              <w:rPr>
                <w:noProof/>
                <w:webHidden/>
              </w:rPr>
              <w:fldChar w:fldCharType="separate"/>
            </w:r>
            <w:r w:rsidR="00D61157">
              <w:rPr>
                <w:noProof/>
                <w:webHidden/>
              </w:rPr>
              <w:t>13</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1" w:history="1">
            <w:r w:rsidR="00D61157" w:rsidRPr="00F562DD">
              <w:rPr>
                <w:rStyle w:val="Hipervnculo"/>
                <w:noProof/>
              </w:rPr>
              <w:t>5</w:t>
            </w:r>
            <w:r w:rsidR="00D61157">
              <w:rPr>
                <w:rFonts w:eastAsiaTheme="minorEastAsia"/>
                <w:noProof/>
                <w:lang w:eastAsia="es-CL"/>
              </w:rPr>
              <w:tab/>
            </w:r>
            <w:r w:rsidR="00D61157" w:rsidRPr="00F562DD">
              <w:rPr>
                <w:rStyle w:val="Hipervnculo"/>
                <w:noProof/>
              </w:rPr>
              <w:t>Conclusiones</w:t>
            </w:r>
            <w:r w:rsidR="00D61157">
              <w:rPr>
                <w:noProof/>
                <w:webHidden/>
              </w:rPr>
              <w:tab/>
            </w:r>
            <w:r w:rsidR="00D61157">
              <w:rPr>
                <w:noProof/>
                <w:webHidden/>
              </w:rPr>
              <w:fldChar w:fldCharType="begin"/>
            </w:r>
            <w:r w:rsidR="00D61157">
              <w:rPr>
                <w:noProof/>
                <w:webHidden/>
              </w:rPr>
              <w:instrText xml:space="preserve"> PAGEREF _Toc405237631 \h </w:instrText>
            </w:r>
            <w:r w:rsidR="00D61157">
              <w:rPr>
                <w:noProof/>
                <w:webHidden/>
              </w:rPr>
            </w:r>
            <w:r w:rsidR="00D61157">
              <w:rPr>
                <w:noProof/>
                <w:webHidden/>
              </w:rPr>
              <w:fldChar w:fldCharType="separate"/>
            </w:r>
            <w:r w:rsidR="00D61157">
              <w:rPr>
                <w:noProof/>
                <w:webHidden/>
              </w:rPr>
              <w:t>15</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2" w:history="1">
            <w:r w:rsidR="00D61157" w:rsidRPr="00F562DD">
              <w:rPr>
                <w:rStyle w:val="Hipervnculo"/>
                <w:noProof/>
              </w:rPr>
              <w:t>6</w:t>
            </w:r>
            <w:r w:rsidR="00D61157">
              <w:rPr>
                <w:rFonts w:eastAsiaTheme="minorEastAsia"/>
                <w:noProof/>
                <w:lang w:eastAsia="es-CL"/>
              </w:rPr>
              <w:tab/>
            </w:r>
            <w:r w:rsidR="00D61157" w:rsidRPr="00F562DD">
              <w:rPr>
                <w:rStyle w:val="Hipervnculo"/>
                <w:noProof/>
              </w:rPr>
              <w:t>Otras observaciones</w:t>
            </w:r>
            <w:r w:rsidR="00D61157">
              <w:rPr>
                <w:noProof/>
                <w:webHidden/>
              </w:rPr>
              <w:tab/>
            </w:r>
            <w:r w:rsidR="00D61157">
              <w:rPr>
                <w:noProof/>
                <w:webHidden/>
              </w:rPr>
              <w:fldChar w:fldCharType="begin"/>
            </w:r>
            <w:r w:rsidR="00D61157">
              <w:rPr>
                <w:noProof/>
                <w:webHidden/>
              </w:rPr>
              <w:instrText xml:space="preserve"> PAGEREF _Toc405237632 \h </w:instrText>
            </w:r>
            <w:r w:rsidR="00D61157">
              <w:rPr>
                <w:noProof/>
                <w:webHidden/>
              </w:rPr>
            </w:r>
            <w:r w:rsidR="00D61157">
              <w:rPr>
                <w:noProof/>
                <w:webHidden/>
              </w:rPr>
              <w:fldChar w:fldCharType="separate"/>
            </w:r>
            <w:r w:rsidR="00D61157">
              <w:rPr>
                <w:noProof/>
                <w:webHidden/>
              </w:rPr>
              <w:t>15</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3" w:history="1">
            <w:r w:rsidR="00D61157" w:rsidRPr="00F562DD">
              <w:rPr>
                <w:rStyle w:val="Hipervnculo"/>
                <w:noProof/>
              </w:rPr>
              <w:t>7</w:t>
            </w:r>
            <w:r w:rsidR="00D61157">
              <w:rPr>
                <w:rFonts w:eastAsiaTheme="minorEastAsia"/>
                <w:noProof/>
                <w:lang w:eastAsia="es-CL"/>
              </w:rPr>
              <w:tab/>
            </w:r>
            <w:r w:rsidR="00D61157" w:rsidRPr="00F562DD">
              <w:rPr>
                <w:rStyle w:val="Hipervnculo"/>
                <w:noProof/>
              </w:rPr>
              <w:t>Anexo: Descripción de tecnologías</w:t>
            </w:r>
            <w:r w:rsidR="00D61157">
              <w:rPr>
                <w:noProof/>
                <w:webHidden/>
              </w:rPr>
              <w:tab/>
            </w:r>
            <w:r w:rsidR="00D61157">
              <w:rPr>
                <w:noProof/>
                <w:webHidden/>
              </w:rPr>
              <w:fldChar w:fldCharType="begin"/>
            </w:r>
            <w:r w:rsidR="00D61157">
              <w:rPr>
                <w:noProof/>
                <w:webHidden/>
              </w:rPr>
              <w:instrText xml:space="preserve"> PAGEREF _Toc405237633 \h </w:instrText>
            </w:r>
            <w:r w:rsidR="00D61157">
              <w:rPr>
                <w:noProof/>
                <w:webHidden/>
              </w:rPr>
            </w:r>
            <w:r w:rsidR="00D61157">
              <w:rPr>
                <w:noProof/>
                <w:webHidden/>
              </w:rPr>
              <w:fldChar w:fldCharType="separate"/>
            </w:r>
            <w:r w:rsidR="00D61157">
              <w:rPr>
                <w:noProof/>
                <w:webHidden/>
              </w:rPr>
              <w:t>16</w:t>
            </w:r>
            <w:r w:rsidR="00D61157">
              <w:rPr>
                <w:noProof/>
                <w:webHidden/>
              </w:rPr>
              <w:fldChar w:fldCharType="end"/>
            </w:r>
          </w:hyperlink>
        </w:p>
        <w:p w:rsidR="00D61157" w:rsidRDefault="00E733CF">
          <w:pPr>
            <w:pStyle w:val="TDC1"/>
            <w:tabs>
              <w:tab w:val="right" w:leader="dot" w:pos="8494"/>
            </w:tabs>
            <w:rPr>
              <w:rFonts w:eastAsiaTheme="minorEastAsia"/>
              <w:noProof/>
              <w:lang w:eastAsia="es-CL"/>
            </w:rPr>
          </w:pPr>
          <w:hyperlink w:anchor="_Toc405237634" w:history="1">
            <w:r w:rsidR="00D61157" w:rsidRPr="00F562DD">
              <w:rPr>
                <w:rStyle w:val="Hipervnculo"/>
                <w:noProof/>
              </w:rPr>
              <w:t>1. Minimización de los residuos</w:t>
            </w:r>
            <w:r w:rsidR="00D61157">
              <w:rPr>
                <w:noProof/>
                <w:webHidden/>
              </w:rPr>
              <w:tab/>
            </w:r>
            <w:r w:rsidR="00D61157">
              <w:rPr>
                <w:noProof/>
                <w:webHidden/>
              </w:rPr>
              <w:fldChar w:fldCharType="begin"/>
            </w:r>
            <w:r w:rsidR="00D61157">
              <w:rPr>
                <w:noProof/>
                <w:webHidden/>
              </w:rPr>
              <w:instrText xml:space="preserve"> PAGEREF _Toc405237634 \h </w:instrText>
            </w:r>
            <w:r w:rsidR="00D61157">
              <w:rPr>
                <w:noProof/>
                <w:webHidden/>
              </w:rPr>
            </w:r>
            <w:r w:rsidR="00D61157">
              <w:rPr>
                <w:noProof/>
                <w:webHidden/>
              </w:rPr>
              <w:fldChar w:fldCharType="separate"/>
            </w:r>
            <w:r w:rsidR="00D61157">
              <w:rPr>
                <w:noProof/>
                <w:webHidden/>
              </w:rPr>
              <w:t>16</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5" w:history="1">
            <w:r w:rsidR="00D61157" w:rsidRPr="00F562DD">
              <w:rPr>
                <w:rStyle w:val="Hipervnculo"/>
                <w:noProof/>
              </w:rPr>
              <w:t>1.</w:t>
            </w:r>
            <w:r w:rsidR="00D61157">
              <w:rPr>
                <w:rFonts w:eastAsiaTheme="minorEastAsia"/>
                <w:noProof/>
                <w:lang w:eastAsia="es-CL"/>
              </w:rPr>
              <w:tab/>
            </w:r>
            <w:r w:rsidR="00D61157" w:rsidRPr="00F562DD">
              <w:rPr>
                <w:rStyle w:val="Hipervnculo"/>
                <w:noProof/>
              </w:rPr>
              <w:t>Compostaje en el hogar.</w:t>
            </w:r>
            <w:r w:rsidR="00D61157">
              <w:rPr>
                <w:noProof/>
                <w:webHidden/>
              </w:rPr>
              <w:tab/>
            </w:r>
            <w:r w:rsidR="00D61157">
              <w:rPr>
                <w:noProof/>
                <w:webHidden/>
              </w:rPr>
              <w:fldChar w:fldCharType="begin"/>
            </w:r>
            <w:r w:rsidR="00D61157">
              <w:rPr>
                <w:noProof/>
                <w:webHidden/>
              </w:rPr>
              <w:instrText xml:space="preserve"> PAGEREF _Toc405237635 \h </w:instrText>
            </w:r>
            <w:r w:rsidR="00D61157">
              <w:rPr>
                <w:noProof/>
                <w:webHidden/>
              </w:rPr>
            </w:r>
            <w:r w:rsidR="00D61157">
              <w:rPr>
                <w:noProof/>
                <w:webHidden/>
              </w:rPr>
              <w:fldChar w:fldCharType="separate"/>
            </w:r>
            <w:r w:rsidR="00D61157">
              <w:rPr>
                <w:noProof/>
                <w:webHidden/>
              </w:rPr>
              <w:t>16</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6" w:history="1">
            <w:r w:rsidR="00D61157" w:rsidRPr="00F562DD">
              <w:rPr>
                <w:rStyle w:val="Hipervnculo"/>
                <w:noProof/>
              </w:rPr>
              <w:t>2.</w:t>
            </w:r>
            <w:r w:rsidR="00D61157">
              <w:rPr>
                <w:rFonts w:eastAsiaTheme="minorEastAsia"/>
                <w:noProof/>
                <w:lang w:eastAsia="es-CL"/>
              </w:rPr>
              <w:tab/>
            </w:r>
            <w:r w:rsidR="00D61157" w:rsidRPr="00F562DD">
              <w:rPr>
                <w:rStyle w:val="Hipervnculo"/>
                <w:noProof/>
              </w:rPr>
              <w:t>Reciclaje en puntos de entrega</w:t>
            </w:r>
            <w:r w:rsidR="00D61157">
              <w:rPr>
                <w:noProof/>
                <w:webHidden/>
              </w:rPr>
              <w:tab/>
            </w:r>
            <w:r w:rsidR="00D61157">
              <w:rPr>
                <w:noProof/>
                <w:webHidden/>
              </w:rPr>
              <w:fldChar w:fldCharType="begin"/>
            </w:r>
            <w:r w:rsidR="00D61157">
              <w:rPr>
                <w:noProof/>
                <w:webHidden/>
              </w:rPr>
              <w:instrText xml:space="preserve"> PAGEREF _Toc405237636 \h </w:instrText>
            </w:r>
            <w:r w:rsidR="00D61157">
              <w:rPr>
                <w:noProof/>
                <w:webHidden/>
              </w:rPr>
            </w:r>
            <w:r w:rsidR="00D61157">
              <w:rPr>
                <w:noProof/>
                <w:webHidden/>
              </w:rPr>
              <w:fldChar w:fldCharType="separate"/>
            </w:r>
            <w:r w:rsidR="00D61157">
              <w:rPr>
                <w:noProof/>
                <w:webHidden/>
              </w:rPr>
              <w:t>17</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7" w:history="1">
            <w:r w:rsidR="00D61157" w:rsidRPr="00F562DD">
              <w:rPr>
                <w:rStyle w:val="Hipervnculo"/>
                <w:noProof/>
              </w:rPr>
              <w:t>3.</w:t>
            </w:r>
            <w:r w:rsidR="00D61157">
              <w:rPr>
                <w:rFonts w:eastAsiaTheme="minorEastAsia"/>
                <w:noProof/>
                <w:lang w:eastAsia="es-CL"/>
              </w:rPr>
              <w:tab/>
            </w:r>
            <w:r w:rsidR="00D61157" w:rsidRPr="00F562DD">
              <w:rPr>
                <w:rStyle w:val="Hipervnculo"/>
                <w:noProof/>
              </w:rPr>
              <w:t>Reciclaje en origen (domicilio)</w:t>
            </w:r>
            <w:r w:rsidR="00D61157">
              <w:rPr>
                <w:noProof/>
                <w:webHidden/>
              </w:rPr>
              <w:tab/>
            </w:r>
            <w:r w:rsidR="00D61157">
              <w:rPr>
                <w:noProof/>
                <w:webHidden/>
              </w:rPr>
              <w:fldChar w:fldCharType="begin"/>
            </w:r>
            <w:r w:rsidR="00D61157">
              <w:rPr>
                <w:noProof/>
                <w:webHidden/>
              </w:rPr>
              <w:instrText xml:space="preserve"> PAGEREF _Toc405237637 \h </w:instrText>
            </w:r>
            <w:r w:rsidR="00D61157">
              <w:rPr>
                <w:noProof/>
                <w:webHidden/>
              </w:rPr>
            </w:r>
            <w:r w:rsidR="00D61157">
              <w:rPr>
                <w:noProof/>
                <w:webHidden/>
              </w:rPr>
              <w:fldChar w:fldCharType="separate"/>
            </w:r>
            <w:r w:rsidR="00D61157">
              <w:rPr>
                <w:noProof/>
                <w:webHidden/>
              </w:rPr>
              <w:t>17</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8" w:history="1">
            <w:r w:rsidR="00D61157" w:rsidRPr="00F562DD">
              <w:rPr>
                <w:rStyle w:val="Hipervnculo"/>
                <w:noProof/>
              </w:rPr>
              <w:t>4.</w:t>
            </w:r>
            <w:r w:rsidR="00D61157">
              <w:rPr>
                <w:rFonts w:eastAsiaTheme="minorEastAsia"/>
                <w:noProof/>
                <w:lang w:eastAsia="es-CL"/>
              </w:rPr>
              <w:tab/>
            </w:r>
            <w:r w:rsidR="00D61157" w:rsidRPr="00F562DD">
              <w:rPr>
                <w:rStyle w:val="Hipervnculo"/>
                <w:noProof/>
              </w:rPr>
              <w:t>Métodos de Recolección</w:t>
            </w:r>
            <w:r w:rsidR="00D61157">
              <w:rPr>
                <w:noProof/>
                <w:webHidden/>
              </w:rPr>
              <w:tab/>
            </w:r>
            <w:r w:rsidR="00D61157">
              <w:rPr>
                <w:noProof/>
                <w:webHidden/>
              </w:rPr>
              <w:fldChar w:fldCharType="begin"/>
            </w:r>
            <w:r w:rsidR="00D61157">
              <w:rPr>
                <w:noProof/>
                <w:webHidden/>
              </w:rPr>
              <w:instrText xml:space="preserve"> PAGEREF _Toc405237638 \h </w:instrText>
            </w:r>
            <w:r w:rsidR="00D61157">
              <w:rPr>
                <w:noProof/>
                <w:webHidden/>
              </w:rPr>
            </w:r>
            <w:r w:rsidR="00D61157">
              <w:rPr>
                <w:noProof/>
                <w:webHidden/>
              </w:rPr>
              <w:fldChar w:fldCharType="separate"/>
            </w:r>
            <w:r w:rsidR="00D61157">
              <w:rPr>
                <w:noProof/>
                <w:webHidden/>
              </w:rPr>
              <w:t>18</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39" w:history="1">
            <w:r w:rsidR="00D61157" w:rsidRPr="00F562DD">
              <w:rPr>
                <w:rStyle w:val="Hipervnculo"/>
                <w:noProof/>
              </w:rPr>
              <w:t>5.</w:t>
            </w:r>
            <w:r w:rsidR="00D61157">
              <w:rPr>
                <w:rFonts w:eastAsiaTheme="minorEastAsia"/>
                <w:noProof/>
                <w:lang w:eastAsia="es-CL"/>
              </w:rPr>
              <w:tab/>
            </w:r>
            <w:r w:rsidR="00D61157" w:rsidRPr="00F562DD">
              <w:rPr>
                <w:rStyle w:val="Hipervnculo"/>
                <w:noProof/>
              </w:rPr>
              <w:t>Vehículos de Recolección</w:t>
            </w:r>
            <w:r w:rsidR="00D61157">
              <w:rPr>
                <w:noProof/>
                <w:webHidden/>
              </w:rPr>
              <w:tab/>
            </w:r>
            <w:r w:rsidR="00D61157">
              <w:rPr>
                <w:noProof/>
                <w:webHidden/>
              </w:rPr>
              <w:fldChar w:fldCharType="begin"/>
            </w:r>
            <w:r w:rsidR="00D61157">
              <w:rPr>
                <w:noProof/>
                <w:webHidden/>
              </w:rPr>
              <w:instrText xml:space="preserve"> PAGEREF _Toc405237639 \h </w:instrText>
            </w:r>
            <w:r w:rsidR="00D61157">
              <w:rPr>
                <w:noProof/>
                <w:webHidden/>
              </w:rPr>
            </w:r>
            <w:r w:rsidR="00D61157">
              <w:rPr>
                <w:noProof/>
                <w:webHidden/>
              </w:rPr>
              <w:fldChar w:fldCharType="separate"/>
            </w:r>
            <w:r w:rsidR="00D61157">
              <w:rPr>
                <w:noProof/>
                <w:webHidden/>
              </w:rPr>
              <w:t>20</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40" w:history="1">
            <w:r w:rsidR="00D61157" w:rsidRPr="00F562DD">
              <w:rPr>
                <w:rStyle w:val="Hipervnculo"/>
                <w:noProof/>
              </w:rPr>
              <w:t>6.</w:t>
            </w:r>
            <w:r w:rsidR="00D61157">
              <w:rPr>
                <w:rFonts w:eastAsiaTheme="minorEastAsia"/>
                <w:noProof/>
                <w:lang w:eastAsia="es-CL"/>
              </w:rPr>
              <w:tab/>
            </w:r>
            <w:r w:rsidR="00D61157" w:rsidRPr="00F562DD">
              <w:rPr>
                <w:rStyle w:val="Hipervnculo"/>
                <w:noProof/>
              </w:rPr>
              <w:t>Transferencia y Transporte</w:t>
            </w:r>
            <w:r w:rsidR="00D61157">
              <w:rPr>
                <w:noProof/>
                <w:webHidden/>
              </w:rPr>
              <w:tab/>
            </w:r>
            <w:r w:rsidR="00D61157">
              <w:rPr>
                <w:noProof/>
                <w:webHidden/>
              </w:rPr>
              <w:fldChar w:fldCharType="begin"/>
            </w:r>
            <w:r w:rsidR="00D61157">
              <w:rPr>
                <w:noProof/>
                <w:webHidden/>
              </w:rPr>
              <w:instrText xml:space="preserve"> PAGEREF _Toc405237640 \h </w:instrText>
            </w:r>
            <w:r w:rsidR="00D61157">
              <w:rPr>
                <w:noProof/>
                <w:webHidden/>
              </w:rPr>
            </w:r>
            <w:r w:rsidR="00D61157">
              <w:rPr>
                <w:noProof/>
                <w:webHidden/>
              </w:rPr>
              <w:fldChar w:fldCharType="separate"/>
            </w:r>
            <w:r w:rsidR="00D61157">
              <w:rPr>
                <w:noProof/>
                <w:webHidden/>
              </w:rPr>
              <w:t>21</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1" w:history="1">
            <w:r w:rsidR="00D61157" w:rsidRPr="00F562DD">
              <w:rPr>
                <w:rStyle w:val="Hipervnculo"/>
                <w:noProof/>
              </w:rPr>
              <w:t>6.1</w:t>
            </w:r>
            <w:r w:rsidR="00D61157">
              <w:rPr>
                <w:rFonts w:eastAsiaTheme="minorEastAsia"/>
                <w:noProof/>
                <w:lang w:eastAsia="es-CL"/>
              </w:rPr>
              <w:tab/>
            </w:r>
            <w:r w:rsidR="00D61157" w:rsidRPr="00F562DD">
              <w:rPr>
                <w:rStyle w:val="Hipervnculo"/>
                <w:noProof/>
              </w:rPr>
              <w:t>Vehículos de Transporte</w:t>
            </w:r>
            <w:r w:rsidR="00D61157">
              <w:rPr>
                <w:noProof/>
                <w:webHidden/>
              </w:rPr>
              <w:tab/>
            </w:r>
            <w:r w:rsidR="00D61157">
              <w:rPr>
                <w:noProof/>
                <w:webHidden/>
              </w:rPr>
              <w:fldChar w:fldCharType="begin"/>
            </w:r>
            <w:r w:rsidR="00D61157">
              <w:rPr>
                <w:noProof/>
                <w:webHidden/>
              </w:rPr>
              <w:instrText xml:space="preserve"> PAGEREF _Toc405237641 \h </w:instrText>
            </w:r>
            <w:r w:rsidR="00D61157">
              <w:rPr>
                <w:noProof/>
                <w:webHidden/>
              </w:rPr>
            </w:r>
            <w:r w:rsidR="00D61157">
              <w:rPr>
                <w:noProof/>
                <w:webHidden/>
              </w:rPr>
              <w:fldChar w:fldCharType="separate"/>
            </w:r>
            <w:r w:rsidR="00D61157">
              <w:rPr>
                <w:noProof/>
                <w:webHidden/>
              </w:rPr>
              <w:t>23</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42" w:history="1">
            <w:r w:rsidR="00D61157" w:rsidRPr="00F562DD">
              <w:rPr>
                <w:rStyle w:val="Hipervnculo"/>
                <w:noProof/>
              </w:rPr>
              <w:t>7.</w:t>
            </w:r>
            <w:r w:rsidR="00D61157">
              <w:rPr>
                <w:rFonts w:eastAsiaTheme="minorEastAsia"/>
                <w:noProof/>
                <w:lang w:eastAsia="es-CL"/>
              </w:rPr>
              <w:tab/>
            </w:r>
            <w:r w:rsidR="00D61157" w:rsidRPr="00F562DD">
              <w:rPr>
                <w:rStyle w:val="Hipervnculo"/>
                <w:noProof/>
              </w:rPr>
              <w:t>Fermentación (Tratamiento Anaeróbico); Biometanización</w:t>
            </w:r>
            <w:r w:rsidR="00D61157">
              <w:rPr>
                <w:noProof/>
                <w:webHidden/>
              </w:rPr>
              <w:tab/>
            </w:r>
            <w:r w:rsidR="00D61157">
              <w:rPr>
                <w:noProof/>
                <w:webHidden/>
              </w:rPr>
              <w:fldChar w:fldCharType="begin"/>
            </w:r>
            <w:r w:rsidR="00D61157">
              <w:rPr>
                <w:noProof/>
                <w:webHidden/>
              </w:rPr>
              <w:instrText xml:space="preserve"> PAGEREF _Toc405237642 \h </w:instrText>
            </w:r>
            <w:r w:rsidR="00D61157">
              <w:rPr>
                <w:noProof/>
                <w:webHidden/>
              </w:rPr>
            </w:r>
            <w:r w:rsidR="00D61157">
              <w:rPr>
                <w:noProof/>
                <w:webHidden/>
              </w:rPr>
              <w:fldChar w:fldCharType="separate"/>
            </w:r>
            <w:r w:rsidR="00D61157">
              <w:rPr>
                <w:noProof/>
                <w:webHidden/>
              </w:rPr>
              <w:t>25</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43" w:history="1">
            <w:r w:rsidR="00D61157" w:rsidRPr="00F562DD">
              <w:rPr>
                <w:rStyle w:val="Hipervnculo"/>
                <w:noProof/>
              </w:rPr>
              <w:t>8.</w:t>
            </w:r>
            <w:r w:rsidR="00D61157">
              <w:rPr>
                <w:rFonts w:eastAsiaTheme="minorEastAsia"/>
                <w:noProof/>
                <w:lang w:eastAsia="es-CL"/>
              </w:rPr>
              <w:tab/>
            </w:r>
            <w:r w:rsidR="00D61157" w:rsidRPr="00F562DD">
              <w:rPr>
                <w:rStyle w:val="Hipervnculo"/>
                <w:noProof/>
              </w:rPr>
              <w:t>Incineración</w:t>
            </w:r>
            <w:r w:rsidR="00D61157">
              <w:rPr>
                <w:noProof/>
                <w:webHidden/>
              </w:rPr>
              <w:tab/>
            </w:r>
            <w:r w:rsidR="00D61157">
              <w:rPr>
                <w:noProof/>
                <w:webHidden/>
              </w:rPr>
              <w:fldChar w:fldCharType="begin"/>
            </w:r>
            <w:r w:rsidR="00D61157">
              <w:rPr>
                <w:noProof/>
                <w:webHidden/>
              </w:rPr>
              <w:instrText xml:space="preserve"> PAGEREF _Toc405237643 \h </w:instrText>
            </w:r>
            <w:r w:rsidR="00D61157">
              <w:rPr>
                <w:noProof/>
                <w:webHidden/>
              </w:rPr>
            </w:r>
            <w:r w:rsidR="00D61157">
              <w:rPr>
                <w:noProof/>
                <w:webHidden/>
              </w:rPr>
              <w:fldChar w:fldCharType="separate"/>
            </w:r>
            <w:r w:rsidR="00D61157">
              <w:rPr>
                <w:noProof/>
                <w:webHidden/>
              </w:rPr>
              <w:t>26</w:t>
            </w:r>
            <w:r w:rsidR="00D61157">
              <w:rPr>
                <w:noProof/>
                <w:webHidden/>
              </w:rPr>
              <w:fldChar w:fldCharType="end"/>
            </w:r>
          </w:hyperlink>
        </w:p>
        <w:p w:rsidR="00D61157" w:rsidRDefault="00E733CF">
          <w:pPr>
            <w:pStyle w:val="TDC1"/>
            <w:tabs>
              <w:tab w:val="left" w:pos="440"/>
              <w:tab w:val="right" w:leader="dot" w:pos="8494"/>
            </w:tabs>
            <w:rPr>
              <w:rFonts w:eastAsiaTheme="minorEastAsia"/>
              <w:noProof/>
              <w:lang w:eastAsia="es-CL"/>
            </w:rPr>
          </w:pPr>
          <w:hyperlink w:anchor="_Toc405237644" w:history="1">
            <w:r w:rsidR="00D61157" w:rsidRPr="00F562DD">
              <w:rPr>
                <w:rStyle w:val="Hipervnculo"/>
                <w:noProof/>
              </w:rPr>
              <w:t>9.</w:t>
            </w:r>
            <w:r w:rsidR="00D61157">
              <w:rPr>
                <w:rFonts w:eastAsiaTheme="minorEastAsia"/>
                <w:noProof/>
                <w:lang w:eastAsia="es-CL"/>
              </w:rPr>
              <w:tab/>
            </w:r>
            <w:r w:rsidR="00D61157" w:rsidRPr="00F562DD">
              <w:rPr>
                <w:rStyle w:val="Hipervnculo"/>
                <w:noProof/>
              </w:rPr>
              <w:t>Disposición Final en relleno sanitario</w:t>
            </w:r>
            <w:r w:rsidR="00D61157">
              <w:rPr>
                <w:noProof/>
                <w:webHidden/>
              </w:rPr>
              <w:tab/>
            </w:r>
            <w:r w:rsidR="00D61157">
              <w:rPr>
                <w:noProof/>
                <w:webHidden/>
              </w:rPr>
              <w:fldChar w:fldCharType="begin"/>
            </w:r>
            <w:r w:rsidR="00D61157">
              <w:rPr>
                <w:noProof/>
                <w:webHidden/>
              </w:rPr>
              <w:instrText xml:space="preserve"> PAGEREF _Toc405237644 \h </w:instrText>
            </w:r>
            <w:r w:rsidR="00D61157">
              <w:rPr>
                <w:noProof/>
                <w:webHidden/>
              </w:rPr>
            </w:r>
            <w:r w:rsidR="00D61157">
              <w:rPr>
                <w:noProof/>
                <w:webHidden/>
              </w:rPr>
              <w:fldChar w:fldCharType="separate"/>
            </w:r>
            <w:r w:rsidR="00D61157">
              <w:rPr>
                <w:noProof/>
                <w:webHidden/>
              </w:rPr>
              <w:t>26</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5" w:history="1">
            <w:r w:rsidR="00D61157" w:rsidRPr="00F562DD">
              <w:rPr>
                <w:rStyle w:val="Hipervnculo"/>
                <w:noProof/>
              </w:rPr>
              <w:t>9.1</w:t>
            </w:r>
            <w:r w:rsidR="00D61157">
              <w:rPr>
                <w:rFonts w:eastAsiaTheme="minorEastAsia"/>
                <w:noProof/>
                <w:lang w:eastAsia="es-CL"/>
              </w:rPr>
              <w:tab/>
            </w:r>
            <w:r w:rsidR="00D61157" w:rsidRPr="00F562DD">
              <w:rPr>
                <w:rStyle w:val="Hipervnculo"/>
                <w:noProof/>
              </w:rPr>
              <w:t>Selección del Sitio:</w:t>
            </w:r>
            <w:r w:rsidR="00D61157">
              <w:rPr>
                <w:noProof/>
                <w:webHidden/>
              </w:rPr>
              <w:tab/>
            </w:r>
            <w:r w:rsidR="00D61157">
              <w:rPr>
                <w:noProof/>
                <w:webHidden/>
              </w:rPr>
              <w:fldChar w:fldCharType="begin"/>
            </w:r>
            <w:r w:rsidR="00D61157">
              <w:rPr>
                <w:noProof/>
                <w:webHidden/>
              </w:rPr>
              <w:instrText xml:space="preserve"> PAGEREF _Toc405237645 \h </w:instrText>
            </w:r>
            <w:r w:rsidR="00D61157">
              <w:rPr>
                <w:noProof/>
                <w:webHidden/>
              </w:rPr>
            </w:r>
            <w:r w:rsidR="00D61157">
              <w:rPr>
                <w:noProof/>
                <w:webHidden/>
              </w:rPr>
              <w:fldChar w:fldCharType="separate"/>
            </w:r>
            <w:r w:rsidR="00D61157">
              <w:rPr>
                <w:noProof/>
                <w:webHidden/>
              </w:rPr>
              <w:t>26</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6" w:history="1">
            <w:r w:rsidR="00D61157" w:rsidRPr="00F562DD">
              <w:rPr>
                <w:rStyle w:val="Hipervnculo"/>
                <w:noProof/>
              </w:rPr>
              <w:t>9.2</w:t>
            </w:r>
            <w:r w:rsidR="00D61157">
              <w:rPr>
                <w:rFonts w:eastAsiaTheme="minorEastAsia"/>
                <w:noProof/>
                <w:lang w:eastAsia="es-CL"/>
              </w:rPr>
              <w:tab/>
            </w:r>
            <w:r w:rsidR="00D61157" w:rsidRPr="00F562DD">
              <w:rPr>
                <w:rStyle w:val="Hipervnculo"/>
                <w:noProof/>
              </w:rPr>
              <w:t>Impermeabilización de fondo:</w:t>
            </w:r>
            <w:r w:rsidR="00D61157">
              <w:rPr>
                <w:noProof/>
                <w:webHidden/>
              </w:rPr>
              <w:tab/>
            </w:r>
            <w:r w:rsidR="00D61157">
              <w:rPr>
                <w:noProof/>
                <w:webHidden/>
              </w:rPr>
              <w:fldChar w:fldCharType="begin"/>
            </w:r>
            <w:r w:rsidR="00D61157">
              <w:rPr>
                <w:noProof/>
                <w:webHidden/>
              </w:rPr>
              <w:instrText xml:space="preserve"> PAGEREF _Toc405237646 \h </w:instrText>
            </w:r>
            <w:r w:rsidR="00D61157">
              <w:rPr>
                <w:noProof/>
                <w:webHidden/>
              </w:rPr>
            </w:r>
            <w:r w:rsidR="00D61157">
              <w:rPr>
                <w:noProof/>
                <w:webHidden/>
              </w:rPr>
              <w:fldChar w:fldCharType="separate"/>
            </w:r>
            <w:r w:rsidR="00D61157">
              <w:rPr>
                <w:noProof/>
                <w:webHidden/>
              </w:rPr>
              <w:t>27</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7" w:history="1">
            <w:r w:rsidR="00D61157" w:rsidRPr="00F562DD">
              <w:rPr>
                <w:rStyle w:val="Hipervnculo"/>
                <w:noProof/>
              </w:rPr>
              <w:t>9.3</w:t>
            </w:r>
            <w:r w:rsidR="00D61157">
              <w:rPr>
                <w:rFonts w:eastAsiaTheme="minorEastAsia"/>
                <w:noProof/>
                <w:lang w:eastAsia="es-CL"/>
              </w:rPr>
              <w:tab/>
            </w:r>
            <w:r w:rsidR="00D61157" w:rsidRPr="00F562DD">
              <w:rPr>
                <w:rStyle w:val="Hipervnculo"/>
                <w:noProof/>
              </w:rPr>
              <w:t>Capa Superficial:</w:t>
            </w:r>
            <w:r w:rsidR="00D61157">
              <w:rPr>
                <w:noProof/>
                <w:webHidden/>
              </w:rPr>
              <w:tab/>
            </w:r>
            <w:r w:rsidR="00D61157">
              <w:rPr>
                <w:noProof/>
                <w:webHidden/>
              </w:rPr>
              <w:fldChar w:fldCharType="begin"/>
            </w:r>
            <w:r w:rsidR="00D61157">
              <w:rPr>
                <w:noProof/>
                <w:webHidden/>
              </w:rPr>
              <w:instrText xml:space="preserve"> PAGEREF _Toc405237647 \h </w:instrText>
            </w:r>
            <w:r w:rsidR="00D61157">
              <w:rPr>
                <w:noProof/>
                <w:webHidden/>
              </w:rPr>
            </w:r>
            <w:r w:rsidR="00D61157">
              <w:rPr>
                <w:noProof/>
                <w:webHidden/>
              </w:rPr>
              <w:fldChar w:fldCharType="separate"/>
            </w:r>
            <w:r w:rsidR="00D61157">
              <w:rPr>
                <w:noProof/>
                <w:webHidden/>
              </w:rPr>
              <w:t>28</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8" w:history="1">
            <w:r w:rsidR="00D61157" w:rsidRPr="00F562DD">
              <w:rPr>
                <w:rStyle w:val="Hipervnculo"/>
                <w:noProof/>
              </w:rPr>
              <w:t>9.4</w:t>
            </w:r>
            <w:r w:rsidR="00D61157">
              <w:rPr>
                <w:rFonts w:eastAsiaTheme="minorEastAsia"/>
                <w:noProof/>
                <w:lang w:eastAsia="es-CL"/>
              </w:rPr>
              <w:tab/>
            </w:r>
            <w:r w:rsidR="00D61157" w:rsidRPr="00F562DD">
              <w:rPr>
                <w:rStyle w:val="Hipervnculo"/>
                <w:noProof/>
              </w:rPr>
              <w:t>Control de Gases:</w:t>
            </w:r>
            <w:r w:rsidR="00D61157">
              <w:rPr>
                <w:noProof/>
                <w:webHidden/>
              </w:rPr>
              <w:tab/>
            </w:r>
            <w:r w:rsidR="00D61157">
              <w:rPr>
                <w:noProof/>
                <w:webHidden/>
              </w:rPr>
              <w:fldChar w:fldCharType="begin"/>
            </w:r>
            <w:r w:rsidR="00D61157">
              <w:rPr>
                <w:noProof/>
                <w:webHidden/>
              </w:rPr>
              <w:instrText xml:space="preserve"> PAGEREF _Toc405237648 \h </w:instrText>
            </w:r>
            <w:r w:rsidR="00D61157">
              <w:rPr>
                <w:noProof/>
                <w:webHidden/>
              </w:rPr>
            </w:r>
            <w:r w:rsidR="00D61157">
              <w:rPr>
                <w:noProof/>
                <w:webHidden/>
              </w:rPr>
              <w:fldChar w:fldCharType="separate"/>
            </w:r>
            <w:r w:rsidR="00D61157">
              <w:rPr>
                <w:noProof/>
                <w:webHidden/>
              </w:rPr>
              <w:t>28</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49" w:history="1">
            <w:r w:rsidR="00D61157" w:rsidRPr="00F562DD">
              <w:rPr>
                <w:rStyle w:val="Hipervnculo"/>
                <w:noProof/>
              </w:rPr>
              <w:t>9.5</w:t>
            </w:r>
            <w:r w:rsidR="00D61157">
              <w:rPr>
                <w:rFonts w:eastAsiaTheme="minorEastAsia"/>
                <w:noProof/>
                <w:lang w:eastAsia="es-CL"/>
              </w:rPr>
              <w:tab/>
            </w:r>
            <w:r w:rsidR="00D61157" w:rsidRPr="00F562DD">
              <w:rPr>
                <w:rStyle w:val="Hipervnculo"/>
                <w:noProof/>
              </w:rPr>
              <w:t>Manejo de Líquidos Percolados:</w:t>
            </w:r>
            <w:r w:rsidR="00D61157">
              <w:rPr>
                <w:noProof/>
                <w:webHidden/>
              </w:rPr>
              <w:tab/>
            </w:r>
            <w:r w:rsidR="00D61157">
              <w:rPr>
                <w:noProof/>
                <w:webHidden/>
              </w:rPr>
              <w:fldChar w:fldCharType="begin"/>
            </w:r>
            <w:r w:rsidR="00D61157">
              <w:rPr>
                <w:noProof/>
                <w:webHidden/>
              </w:rPr>
              <w:instrText xml:space="preserve"> PAGEREF _Toc405237649 \h </w:instrText>
            </w:r>
            <w:r w:rsidR="00D61157">
              <w:rPr>
                <w:noProof/>
                <w:webHidden/>
              </w:rPr>
            </w:r>
            <w:r w:rsidR="00D61157">
              <w:rPr>
                <w:noProof/>
                <w:webHidden/>
              </w:rPr>
              <w:fldChar w:fldCharType="separate"/>
            </w:r>
            <w:r w:rsidR="00D61157">
              <w:rPr>
                <w:noProof/>
                <w:webHidden/>
              </w:rPr>
              <w:t>29</w:t>
            </w:r>
            <w:r w:rsidR="00D61157">
              <w:rPr>
                <w:noProof/>
                <w:webHidden/>
              </w:rPr>
              <w:fldChar w:fldCharType="end"/>
            </w:r>
          </w:hyperlink>
        </w:p>
        <w:p w:rsidR="00D61157" w:rsidRDefault="00E733CF">
          <w:pPr>
            <w:pStyle w:val="TDC1"/>
            <w:tabs>
              <w:tab w:val="left" w:pos="660"/>
              <w:tab w:val="right" w:leader="dot" w:pos="8494"/>
            </w:tabs>
            <w:rPr>
              <w:rFonts w:eastAsiaTheme="minorEastAsia"/>
              <w:noProof/>
              <w:lang w:eastAsia="es-CL"/>
            </w:rPr>
          </w:pPr>
          <w:hyperlink w:anchor="_Toc405237650" w:history="1">
            <w:r w:rsidR="00D61157" w:rsidRPr="00F562DD">
              <w:rPr>
                <w:rStyle w:val="Hipervnculo"/>
                <w:noProof/>
              </w:rPr>
              <w:t>9.6</w:t>
            </w:r>
            <w:r w:rsidR="00D61157">
              <w:rPr>
                <w:rFonts w:eastAsiaTheme="minorEastAsia"/>
                <w:noProof/>
                <w:lang w:eastAsia="es-CL"/>
              </w:rPr>
              <w:tab/>
            </w:r>
            <w:r w:rsidR="00D61157" w:rsidRPr="00F562DD">
              <w:rPr>
                <w:rStyle w:val="Hipervnculo"/>
                <w:noProof/>
              </w:rPr>
              <w:t>Operación y Abandono:</w:t>
            </w:r>
            <w:r w:rsidR="00D61157">
              <w:rPr>
                <w:noProof/>
                <w:webHidden/>
              </w:rPr>
              <w:tab/>
            </w:r>
            <w:r w:rsidR="00D61157">
              <w:rPr>
                <w:noProof/>
                <w:webHidden/>
              </w:rPr>
              <w:fldChar w:fldCharType="begin"/>
            </w:r>
            <w:r w:rsidR="00D61157">
              <w:rPr>
                <w:noProof/>
                <w:webHidden/>
              </w:rPr>
              <w:instrText xml:space="preserve"> PAGEREF _Toc405237650 \h </w:instrText>
            </w:r>
            <w:r w:rsidR="00D61157">
              <w:rPr>
                <w:noProof/>
                <w:webHidden/>
              </w:rPr>
            </w:r>
            <w:r w:rsidR="00D61157">
              <w:rPr>
                <w:noProof/>
                <w:webHidden/>
              </w:rPr>
              <w:fldChar w:fldCharType="separate"/>
            </w:r>
            <w:r w:rsidR="00D61157">
              <w:rPr>
                <w:noProof/>
                <w:webHidden/>
              </w:rPr>
              <w:t>29</w:t>
            </w:r>
            <w:r w:rsidR="00D61157">
              <w:rPr>
                <w:noProof/>
                <w:webHidden/>
              </w:rPr>
              <w:fldChar w:fldCharType="end"/>
            </w:r>
          </w:hyperlink>
        </w:p>
        <w:p w:rsidR="00E56C5D" w:rsidRDefault="00E56C5D" w:rsidP="00E56C5D">
          <w:r>
            <w:rPr>
              <w:b/>
              <w:bCs/>
            </w:rPr>
            <w:fldChar w:fldCharType="end"/>
          </w:r>
        </w:p>
      </w:sdtContent>
    </w:sdt>
    <w:p w:rsidR="00D61157" w:rsidRDefault="00D61157">
      <w:pPr>
        <w:spacing w:after="200" w:line="276" w:lineRule="auto"/>
      </w:pPr>
      <w:r>
        <w:br w:type="page"/>
      </w:r>
    </w:p>
    <w:p w:rsidR="00E56C5D" w:rsidRDefault="00E56C5D" w:rsidP="00E56C5D">
      <w:pPr>
        <w:jc w:val="both"/>
      </w:pPr>
    </w:p>
    <w:p w:rsidR="00E56C5D" w:rsidRPr="00521F27" w:rsidRDefault="00E56C5D" w:rsidP="00E56C5D">
      <w:pPr>
        <w:pStyle w:val="Ttulo2"/>
        <w:numPr>
          <w:ilvl w:val="0"/>
          <w:numId w:val="0"/>
        </w:numPr>
        <w:rPr>
          <w:b/>
          <w:color w:val="auto"/>
          <w:u w:val="single"/>
        </w:rPr>
      </w:pPr>
      <w:bookmarkStart w:id="1" w:name="_Toc381173937"/>
      <w:bookmarkStart w:id="2" w:name="_Toc381258603"/>
      <w:bookmarkStart w:id="3" w:name="_Toc381260992"/>
      <w:bookmarkStart w:id="4" w:name="_Toc381346594"/>
      <w:bookmarkStart w:id="5" w:name="_Toc381348394"/>
      <w:bookmarkStart w:id="6" w:name="_Toc381640113"/>
      <w:bookmarkStart w:id="7" w:name="_Toc381641695"/>
      <w:bookmarkStart w:id="8" w:name="_Toc381642091"/>
      <w:bookmarkStart w:id="9" w:name="_Toc405237621"/>
      <w:r w:rsidRPr="00521F27">
        <w:rPr>
          <w:color w:val="auto"/>
          <w:u w:val="single"/>
        </w:rPr>
        <w:t>Índice de Tablas</w:t>
      </w:r>
      <w:bookmarkEnd w:id="1"/>
      <w:bookmarkEnd w:id="2"/>
      <w:bookmarkEnd w:id="3"/>
      <w:bookmarkEnd w:id="4"/>
      <w:bookmarkEnd w:id="5"/>
      <w:bookmarkEnd w:id="6"/>
      <w:bookmarkEnd w:id="7"/>
      <w:bookmarkEnd w:id="8"/>
      <w:bookmarkEnd w:id="9"/>
    </w:p>
    <w:p w:rsidR="00D61157" w:rsidRDefault="00E56C5D">
      <w:pPr>
        <w:pStyle w:val="Tabladeilustraciones"/>
        <w:tabs>
          <w:tab w:val="right" w:leader="dot" w:pos="8494"/>
        </w:tabs>
        <w:rPr>
          <w:rFonts w:eastAsiaTheme="minorEastAsia"/>
          <w:noProof/>
          <w:lang w:eastAsia="es-CL"/>
        </w:rPr>
      </w:pPr>
      <w:r>
        <w:fldChar w:fldCharType="begin"/>
      </w:r>
      <w:r>
        <w:instrText xml:space="preserve"> TOC \h \z \c "Tabla" </w:instrText>
      </w:r>
      <w:r>
        <w:fldChar w:fldCharType="separate"/>
      </w:r>
      <w:hyperlink w:anchor="_Toc405237651" w:history="1">
        <w:r w:rsidR="00D61157" w:rsidRPr="008A7F1B">
          <w:rPr>
            <w:rStyle w:val="Hipervnculo"/>
            <w:noProof/>
          </w:rPr>
          <w:t>Tabla 2.2</w:t>
        </w:r>
        <w:r w:rsidR="00D61157" w:rsidRPr="008A7F1B">
          <w:rPr>
            <w:rStyle w:val="Hipervnculo"/>
            <w:noProof/>
          </w:rPr>
          <w:noBreakHyphen/>
          <w:t>1: Tecnologías Genéricas</w:t>
        </w:r>
        <w:r w:rsidR="00D61157">
          <w:rPr>
            <w:noProof/>
            <w:webHidden/>
          </w:rPr>
          <w:tab/>
        </w:r>
        <w:r w:rsidR="00D61157">
          <w:rPr>
            <w:noProof/>
            <w:webHidden/>
          </w:rPr>
          <w:fldChar w:fldCharType="begin"/>
        </w:r>
        <w:r w:rsidR="00D61157">
          <w:rPr>
            <w:noProof/>
            <w:webHidden/>
          </w:rPr>
          <w:instrText xml:space="preserve"> PAGEREF _Toc405237651 \h </w:instrText>
        </w:r>
        <w:r w:rsidR="00D61157">
          <w:rPr>
            <w:noProof/>
            <w:webHidden/>
          </w:rPr>
        </w:r>
        <w:r w:rsidR="00D61157">
          <w:rPr>
            <w:noProof/>
            <w:webHidden/>
          </w:rPr>
          <w:fldChar w:fldCharType="separate"/>
        </w:r>
        <w:r w:rsidR="00D61157">
          <w:rPr>
            <w:noProof/>
            <w:webHidden/>
          </w:rPr>
          <w:t>6</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2" w:history="1">
        <w:r w:rsidR="00D61157" w:rsidRPr="008A7F1B">
          <w:rPr>
            <w:rStyle w:val="Hipervnculo"/>
            <w:noProof/>
          </w:rPr>
          <w:t>Tabla 2.2</w:t>
        </w:r>
        <w:r w:rsidR="00D61157" w:rsidRPr="008A7F1B">
          <w:rPr>
            <w:rStyle w:val="Hipervnculo"/>
            <w:noProof/>
          </w:rPr>
          <w:noBreakHyphen/>
          <w:t>1: Cantidad de Municipios por cluster identificado</w:t>
        </w:r>
        <w:r w:rsidR="00D61157">
          <w:rPr>
            <w:noProof/>
            <w:webHidden/>
          </w:rPr>
          <w:tab/>
        </w:r>
        <w:r w:rsidR="00D61157">
          <w:rPr>
            <w:noProof/>
            <w:webHidden/>
          </w:rPr>
          <w:fldChar w:fldCharType="begin"/>
        </w:r>
        <w:r w:rsidR="00D61157">
          <w:rPr>
            <w:noProof/>
            <w:webHidden/>
          </w:rPr>
          <w:instrText xml:space="preserve"> PAGEREF _Toc405237652 \h </w:instrText>
        </w:r>
        <w:r w:rsidR="00D61157">
          <w:rPr>
            <w:noProof/>
            <w:webHidden/>
          </w:rPr>
        </w:r>
        <w:r w:rsidR="00D61157">
          <w:rPr>
            <w:noProof/>
            <w:webHidden/>
          </w:rPr>
          <w:fldChar w:fldCharType="separate"/>
        </w:r>
        <w:r w:rsidR="00D61157">
          <w:rPr>
            <w:noProof/>
            <w:webHidden/>
          </w:rPr>
          <w:t>13</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3" w:history="1">
        <w:r w:rsidR="00D61157" w:rsidRPr="008A7F1B">
          <w:rPr>
            <w:rStyle w:val="Hipervnculo"/>
            <w:noProof/>
          </w:rPr>
          <w:t>Tabla 2</w:t>
        </w:r>
        <w:r w:rsidR="00D61157" w:rsidRPr="008A7F1B">
          <w:rPr>
            <w:rStyle w:val="Hipervnculo"/>
            <w:noProof/>
          </w:rPr>
          <w:noBreakHyphen/>
          <w:t>5 Requisitos de Emplazamiento de Rellenos Sanitarios</w:t>
        </w:r>
        <w:r w:rsidR="00D61157">
          <w:rPr>
            <w:noProof/>
            <w:webHidden/>
          </w:rPr>
          <w:tab/>
        </w:r>
        <w:r w:rsidR="00D61157">
          <w:rPr>
            <w:noProof/>
            <w:webHidden/>
          </w:rPr>
          <w:fldChar w:fldCharType="begin"/>
        </w:r>
        <w:r w:rsidR="00D61157">
          <w:rPr>
            <w:noProof/>
            <w:webHidden/>
          </w:rPr>
          <w:instrText xml:space="preserve"> PAGEREF _Toc405237653 \h </w:instrText>
        </w:r>
        <w:r w:rsidR="00D61157">
          <w:rPr>
            <w:noProof/>
            <w:webHidden/>
          </w:rPr>
        </w:r>
        <w:r w:rsidR="00D61157">
          <w:rPr>
            <w:noProof/>
            <w:webHidden/>
          </w:rPr>
          <w:fldChar w:fldCharType="separate"/>
        </w:r>
        <w:r w:rsidR="00D61157">
          <w:rPr>
            <w:noProof/>
            <w:webHidden/>
          </w:rPr>
          <w:t>27</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4" w:history="1">
        <w:r w:rsidR="00D61157" w:rsidRPr="008A7F1B">
          <w:rPr>
            <w:rStyle w:val="Hipervnculo"/>
            <w:noProof/>
          </w:rPr>
          <w:t>Tabla 2</w:t>
        </w:r>
        <w:r w:rsidR="00D61157" w:rsidRPr="008A7F1B">
          <w:rPr>
            <w:rStyle w:val="Hipervnculo"/>
            <w:noProof/>
          </w:rPr>
          <w:noBreakHyphen/>
          <w:t>6 Requisitos de Impermeabilización Basal de Rellenos Sanitarios</w:t>
        </w:r>
        <w:r w:rsidR="00D61157">
          <w:rPr>
            <w:noProof/>
            <w:webHidden/>
          </w:rPr>
          <w:tab/>
        </w:r>
        <w:r w:rsidR="00D61157">
          <w:rPr>
            <w:noProof/>
            <w:webHidden/>
          </w:rPr>
          <w:fldChar w:fldCharType="begin"/>
        </w:r>
        <w:r w:rsidR="00D61157">
          <w:rPr>
            <w:noProof/>
            <w:webHidden/>
          </w:rPr>
          <w:instrText xml:space="preserve"> PAGEREF _Toc405237654 \h </w:instrText>
        </w:r>
        <w:r w:rsidR="00D61157">
          <w:rPr>
            <w:noProof/>
            <w:webHidden/>
          </w:rPr>
        </w:r>
        <w:r w:rsidR="00D61157">
          <w:rPr>
            <w:noProof/>
            <w:webHidden/>
          </w:rPr>
          <w:fldChar w:fldCharType="separate"/>
        </w:r>
        <w:r w:rsidR="00D61157">
          <w:rPr>
            <w:noProof/>
            <w:webHidden/>
          </w:rPr>
          <w:t>28</w:t>
        </w:r>
        <w:r w:rsidR="00D61157">
          <w:rPr>
            <w:noProof/>
            <w:webHidden/>
          </w:rPr>
          <w:fldChar w:fldCharType="end"/>
        </w:r>
      </w:hyperlink>
    </w:p>
    <w:p w:rsidR="00E56C5D" w:rsidRPr="00521F27" w:rsidRDefault="00E56C5D" w:rsidP="00E56C5D">
      <w:pPr>
        <w:jc w:val="both"/>
      </w:pPr>
      <w:r>
        <w:fldChar w:fldCharType="end"/>
      </w:r>
    </w:p>
    <w:p w:rsidR="00E56C5D" w:rsidRPr="00521F27" w:rsidRDefault="00E56C5D" w:rsidP="00E56C5D">
      <w:pPr>
        <w:pStyle w:val="Ttulo2"/>
        <w:numPr>
          <w:ilvl w:val="0"/>
          <w:numId w:val="0"/>
        </w:numPr>
        <w:rPr>
          <w:b/>
          <w:color w:val="auto"/>
          <w:u w:val="single"/>
        </w:rPr>
      </w:pPr>
      <w:bookmarkStart w:id="10" w:name="_Toc381640114"/>
      <w:bookmarkStart w:id="11" w:name="_Toc381641696"/>
      <w:bookmarkStart w:id="12" w:name="_Toc381642092"/>
      <w:bookmarkStart w:id="13" w:name="_Toc405237622"/>
      <w:r w:rsidRPr="00521F27">
        <w:rPr>
          <w:color w:val="auto"/>
          <w:u w:val="single"/>
        </w:rPr>
        <w:t>Índice de Figuras</w:t>
      </w:r>
      <w:bookmarkEnd w:id="10"/>
      <w:bookmarkEnd w:id="11"/>
      <w:bookmarkEnd w:id="12"/>
      <w:bookmarkEnd w:id="13"/>
    </w:p>
    <w:p w:rsidR="00D61157" w:rsidRDefault="00E56C5D">
      <w:pPr>
        <w:pStyle w:val="Tabladeilustraciones"/>
        <w:tabs>
          <w:tab w:val="right" w:leader="dot" w:pos="8494"/>
        </w:tabs>
        <w:rPr>
          <w:rFonts w:eastAsiaTheme="minorEastAsia"/>
          <w:noProof/>
          <w:lang w:eastAsia="es-CL"/>
        </w:rPr>
      </w:pPr>
      <w:r>
        <w:fldChar w:fldCharType="begin"/>
      </w:r>
      <w:r>
        <w:instrText xml:space="preserve"> TOC \h \z \c "Figura" </w:instrText>
      </w:r>
      <w:r>
        <w:fldChar w:fldCharType="separate"/>
      </w:r>
      <w:hyperlink w:anchor="_Toc405237655" w:history="1">
        <w:r w:rsidR="00D61157" w:rsidRPr="00124850">
          <w:rPr>
            <w:rStyle w:val="Hipervnculo"/>
            <w:noProof/>
          </w:rPr>
          <w:t>Figura 2.1</w:t>
        </w:r>
        <w:r w:rsidR="00D61157" w:rsidRPr="00124850">
          <w:rPr>
            <w:rStyle w:val="Hipervnculo"/>
            <w:noProof/>
          </w:rPr>
          <w:noBreakHyphen/>
          <w:t>1: Concepto gráfico de la cadena d gestión de RSD, sus actores y el entorno</w:t>
        </w:r>
        <w:r w:rsidR="00D61157">
          <w:rPr>
            <w:noProof/>
            <w:webHidden/>
          </w:rPr>
          <w:tab/>
        </w:r>
        <w:r w:rsidR="00D61157">
          <w:rPr>
            <w:noProof/>
            <w:webHidden/>
          </w:rPr>
          <w:fldChar w:fldCharType="begin"/>
        </w:r>
        <w:r w:rsidR="00D61157">
          <w:rPr>
            <w:noProof/>
            <w:webHidden/>
          </w:rPr>
          <w:instrText xml:space="preserve"> PAGEREF _Toc405237655 \h </w:instrText>
        </w:r>
        <w:r w:rsidR="00D61157">
          <w:rPr>
            <w:noProof/>
            <w:webHidden/>
          </w:rPr>
        </w:r>
        <w:r w:rsidR="00D61157">
          <w:rPr>
            <w:noProof/>
            <w:webHidden/>
          </w:rPr>
          <w:fldChar w:fldCharType="separate"/>
        </w:r>
        <w:r w:rsidR="00D61157">
          <w:rPr>
            <w:noProof/>
            <w:webHidden/>
          </w:rPr>
          <w:t>5</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6" w:history="1">
        <w:r w:rsidR="00D61157" w:rsidRPr="00124850">
          <w:rPr>
            <w:rStyle w:val="Hipervnculo"/>
            <w:noProof/>
          </w:rPr>
          <w:t>Figura 2.1</w:t>
        </w:r>
        <w:r w:rsidR="00D61157" w:rsidRPr="00124850">
          <w:rPr>
            <w:rStyle w:val="Hipervnculo"/>
            <w:noProof/>
          </w:rPr>
          <w:noBreakHyphen/>
          <w:t>1: Lugar de disposición final de RSD, nacional</w:t>
        </w:r>
        <w:r w:rsidR="00D61157">
          <w:rPr>
            <w:noProof/>
            <w:webHidden/>
          </w:rPr>
          <w:tab/>
        </w:r>
        <w:r w:rsidR="00D61157">
          <w:rPr>
            <w:noProof/>
            <w:webHidden/>
          </w:rPr>
          <w:fldChar w:fldCharType="begin"/>
        </w:r>
        <w:r w:rsidR="00D61157">
          <w:rPr>
            <w:noProof/>
            <w:webHidden/>
          </w:rPr>
          <w:instrText xml:space="preserve"> PAGEREF _Toc405237656 \h </w:instrText>
        </w:r>
        <w:r w:rsidR="00D61157">
          <w:rPr>
            <w:noProof/>
            <w:webHidden/>
          </w:rPr>
        </w:r>
        <w:r w:rsidR="00D61157">
          <w:rPr>
            <w:noProof/>
            <w:webHidden/>
          </w:rPr>
          <w:fldChar w:fldCharType="separate"/>
        </w:r>
        <w:r w:rsidR="00D61157">
          <w:rPr>
            <w:noProof/>
            <w:webHidden/>
          </w:rPr>
          <w:t>11</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7" w:history="1">
        <w:r w:rsidR="00D61157" w:rsidRPr="00124850">
          <w:rPr>
            <w:rStyle w:val="Hipervnculo"/>
            <w:noProof/>
          </w:rPr>
          <w:t>Figura 4</w:t>
        </w:r>
        <w:r w:rsidR="00D61157" w:rsidRPr="00124850">
          <w:rPr>
            <w:rStyle w:val="Hipervnculo"/>
            <w:noProof/>
          </w:rPr>
          <w:noBreakHyphen/>
          <w:t>2: Gráfica porcentual del tipo de localización y tipo de administración de la disposición final</w:t>
        </w:r>
        <w:r w:rsidR="00D61157">
          <w:rPr>
            <w:noProof/>
            <w:webHidden/>
          </w:rPr>
          <w:tab/>
        </w:r>
        <w:r w:rsidR="00D61157">
          <w:rPr>
            <w:noProof/>
            <w:webHidden/>
          </w:rPr>
          <w:fldChar w:fldCharType="begin"/>
        </w:r>
        <w:r w:rsidR="00D61157">
          <w:rPr>
            <w:noProof/>
            <w:webHidden/>
          </w:rPr>
          <w:instrText xml:space="preserve"> PAGEREF _Toc405237657 \h </w:instrText>
        </w:r>
        <w:r w:rsidR="00D61157">
          <w:rPr>
            <w:noProof/>
            <w:webHidden/>
          </w:rPr>
        </w:r>
        <w:r w:rsidR="00D61157">
          <w:rPr>
            <w:noProof/>
            <w:webHidden/>
          </w:rPr>
          <w:fldChar w:fldCharType="separate"/>
        </w:r>
        <w:r w:rsidR="00D61157">
          <w:rPr>
            <w:noProof/>
            <w:webHidden/>
          </w:rPr>
          <w:t>12</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8" w:history="1">
        <w:r w:rsidR="00D61157" w:rsidRPr="00124850">
          <w:rPr>
            <w:rStyle w:val="Hipervnculo"/>
            <w:noProof/>
          </w:rPr>
          <w:t>Figura 4</w:t>
        </w:r>
        <w:r w:rsidR="00D61157" w:rsidRPr="00124850">
          <w:rPr>
            <w:rStyle w:val="Hipervnculo"/>
            <w:noProof/>
          </w:rPr>
          <w:noBreakHyphen/>
          <w:t>3: Gráfica porcentual formato de recolección y tipo de administración de la recolección</w:t>
        </w:r>
        <w:r w:rsidR="00D61157">
          <w:rPr>
            <w:noProof/>
            <w:webHidden/>
          </w:rPr>
          <w:tab/>
        </w:r>
        <w:r w:rsidR="00D61157">
          <w:rPr>
            <w:noProof/>
            <w:webHidden/>
          </w:rPr>
          <w:fldChar w:fldCharType="begin"/>
        </w:r>
        <w:r w:rsidR="00D61157">
          <w:rPr>
            <w:noProof/>
            <w:webHidden/>
          </w:rPr>
          <w:instrText xml:space="preserve"> PAGEREF _Toc405237658 \h </w:instrText>
        </w:r>
        <w:r w:rsidR="00D61157">
          <w:rPr>
            <w:noProof/>
            <w:webHidden/>
          </w:rPr>
        </w:r>
        <w:r w:rsidR="00D61157">
          <w:rPr>
            <w:noProof/>
            <w:webHidden/>
          </w:rPr>
          <w:fldChar w:fldCharType="separate"/>
        </w:r>
        <w:r w:rsidR="00D61157">
          <w:rPr>
            <w:noProof/>
            <w:webHidden/>
          </w:rPr>
          <w:t>12</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59" w:history="1">
        <w:r w:rsidR="00D61157" w:rsidRPr="00124850">
          <w:rPr>
            <w:rStyle w:val="Hipervnculo"/>
            <w:noProof/>
          </w:rPr>
          <w:t>Figura 4</w:t>
        </w:r>
        <w:r w:rsidR="00D61157" w:rsidRPr="00124850">
          <w:rPr>
            <w:rStyle w:val="Hipervnculo"/>
            <w:noProof/>
          </w:rPr>
          <w:noBreakHyphen/>
          <w:t>4: Gráfica porcentual de comunas que cuenta con plan de manejo de RSD</w:t>
        </w:r>
        <w:r w:rsidR="00D61157">
          <w:rPr>
            <w:noProof/>
            <w:webHidden/>
          </w:rPr>
          <w:tab/>
        </w:r>
        <w:r w:rsidR="00D61157">
          <w:rPr>
            <w:noProof/>
            <w:webHidden/>
          </w:rPr>
          <w:fldChar w:fldCharType="begin"/>
        </w:r>
        <w:r w:rsidR="00D61157">
          <w:rPr>
            <w:noProof/>
            <w:webHidden/>
          </w:rPr>
          <w:instrText xml:space="preserve"> PAGEREF _Toc405237659 \h </w:instrText>
        </w:r>
        <w:r w:rsidR="00D61157">
          <w:rPr>
            <w:noProof/>
            <w:webHidden/>
          </w:rPr>
        </w:r>
        <w:r w:rsidR="00D61157">
          <w:rPr>
            <w:noProof/>
            <w:webHidden/>
          </w:rPr>
          <w:fldChar w:fldCharType="separate"/>
        </w:r>
        <w:r w:rsidR="00D61157">
          <w:rPr>
            <w:noProof/>
            <w:webHidden/>
          </w:rPr>
          <w:t>13</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60" w:history="1">
        <w:r w:rsidR="00D61157" w:rsidRPr="00124850">
          <w:rPr>
            <w:rStyle w:val="Hipervnculo"/>
            <w:noProof/>
          </w:rPr>
          <w:t>Figura 4</w:t>
        </w:r>
        <w:r w:rsidR="00D61157" w:rsidRPr="00124850">
          <w:rPr>
            <w:rStyle w:val="Hipervnculo"/>
            <w:noProof/>
          </w:rPr>
          <w:noBreakHyphen/>
          <w:t>5: Gráfica porcentual de comunas según tipificación</w:t>
        </w:r>
        <w:r w:rsidR="00D61157">
          <w:rPr>
            <w:noProof/>
            <w:webHidden/>
          </w:rPr>
          <w:tab/>
        </w:r>
        <w:r w:rsidR="00D61157">
          <w:rPr>
            <w:noProof/>
            <w:webHidden/>
          </w:rPr>
          <w:fldChar w:fldCharType="begin"/>
        </w:r>
        <w:r w:rsidR="00D61157">
          <w:rPr>
            <w:noProof/>
            <w:webHidden/>
          </w:rPr>
          <w:instrText xml:space="preserve"> PAGEREF _Toc405237660 \h </w:instrText>
        </w:r>
        <w:r w:rsidR="00D61157">
          <w:rPr>
            <w:noProof/>
            <w:webHidden/>
          </w:rPr>
        </w:r>
        <w:r w:rsidR="00D61157">
          <w:rPr>
            <w:noProof/>
            <w:webHidden/>
          </w:rPr>
          <w:fldChar w:fldCharType="separate"/>
        </w:r>
        <w:r w:rsidR="00D61157">
          <w:rPr>
            <w:noProof/>
            <w:webHidden/>
          </w:rPr>
          <w:t>14</w:t>
        </w:r>
        <w:r w:rsidR="00D61157">
          <w:rPr>
            <w:noProof/>
            <w:webHidden/>
          </w:rPr>
          <w:fldChar w:fldCharType="end"/>
        </w:r>
      </w:hyperlink>
    </w:p>
    <w:p w:rsidR="00D61157" w:rsidRDefault="00E733CF">
      <w:pPr>
        <w:pStyle w:val="Tabladeilustraciones"/>
        <w:tabs>
          <w:tab w:val="right" w:leader="dot" w:pos="8494"/>
        </w:tabs>
        <w:rPr>
          <w:rFonts w:eastAsiaTheme="minorEastAsia"/>
          <w:noProof/>
          <w:lang w:eastAsia="es-CL"/>
        </w:rPr>
      </w:pPr>
      <w:hyperlink w:anchor="_Toc405237661" w:history="1">
        <w:r w:rsidR="00D61157" w:rsidRPr="00124850">
          <w:rPr>
            <w:rStyle w:val="Hipervnculo"/>
            <w:noProof/>
          </w:rPr>
          <w:t>Figura 4</w:t>
        </w:r>
        <w:r w:rsidR="00D61157" w:rsidRPr="00124850">
          <w:rPr>
            <w:rStyle w:val="Hipervnculo"/>
            <w:noProof/>
          </w:rPr>
          <w:noBreakHyphen/>
          <w:t>5: Cantidad de municipios por región según clase</w:t>
        </w:r>
        <w:r w:rsidR="00D61157">
          <w:rPr>
            <w:noProof/>
            <w:webHidden/>
          </w:rPr>
          <w:tab/>
        </w:r>
        <w:r w:rsidR="00D61157">
          <w:rPr>
            <w:noProof/>
            <w:webHidden/>
          </w:rPr>
          <w:fldChar w:fldCharType="begin"/>
        </w:r>
        <w:r w:rsidR="00D61157">
          <w:rPr>
            <w:noProof/>
            <w:webHidden/>
          </w:rPr>
          <w:instrText xml:space="preserve"> PAGEREF _Toc405237661 \h </w:instrText>
        </w:r>
        <w:r w:rsidR="00D61157">
          <w:rPr>
            <w:noProof/>
            <w:webHidden/>
          </w:rPr>
        </w:r>
        <w:r w:rsidR="00D61157">
          <w:rPr>
            <w:noProof/>
            <w:webHidden/>
          </w:rPr>
          <w:fldChar w:fldCharType="separate"/>
        </w:r>
        <w:r w:rsidR="00D61157">
          <w:rPr>
            <w:noProof/>
            <w:webHidden/>
          </w:rPr>
          <w:t>14</w:t>
        </w:r>
        <w:r w:rsidR="00D61157">
          <w:rPr>
            <w:noProof/>
            <w:webHidden/>
          </w:rPr>
          <w:fldChar w:fldCharType="end"/>
        </w:r>
      </w:hyperlink>
    </w:p>
    <w:p w:rsidR="00AB137D" w:rsidRDefault="00E56C5D" w:rsidP="00E56C5D">
      <w:pPr>
        <w:jc w:val="both"/>
        <w:rPr>
          <w:rFonts w:asciiTheme="minorHAnsi" w:hAnsiTheme="minorHAnsi"/>
          <w:sz w:val="24"/>
        </w:rPr>
      </w:pPr>
      <w:r>
        <w:fldChar w:fldCharType="end"/>
      </w:r>
    </w:p>
    <w:p w:rsidR="00AB137D" w:rsidRPr="00AB137D" w:rsidRDefault="00E56C5D" w:rsidP="00E56C5D">
      <w:pPr>
        <w:spacing w:after="200" w:line="276" w:lineRule="auto"/>
        <w:rPr>
          <w:rFonts w:asciiTheme="minorHAnsi" w:hAnsiTheme="minorHAnsi"/>
          <w:b/>
          <w:sz w:val="32"/>
          <w:szCs w:val="32"/>
          <w:u w:val="single"/>
        </w:rPr>
      </w:pPr>
      <w:r>
        <w:rPr>
          <w:rFonts w:asciiTheme="minorHAnsi" w:hAnsiTheme="minorHAnsi"/>
          <w:b/>
          <w:sz w:val="32"/>
          <w:szCs w:val="32"/>
          <w:u w:val="single"/>
        </w:rPr>
        <w:br w:type="page"/>
      </w:r>
    </w:p>
    <w:p w:rsidR="00AB137D" w:rsidRDefault="00AB137D" w:rsidP="00E56C5D">
      <w:pPr>
        <w:pStyle w:val="Ttulo1"/>
        <w:numPr>
          <w:ilvl w:val="0"/>
          <w:numId w:val="7"/>
        </w:numPr>
        <w:jc w:val="both"/>
      </w:pPr>
      <w:bookmarkStart w:id="14" w:name="_Toc405237623"/>
      <w:r w:rsidRPr="00EF137A">
        <w:lastRenderedPageBreak/>
        <w:t>Introducción.</w:t>
      </w:r>
      <w:bookmarkEnd w:id="14"/>
    </w:p>
    <w:p w:rsidR="00AB137D" w:rsidRDefault="00AB137D" w:rsidP="00AB137D">
      <w:pPr>
        <w:jc w:val="both"/>
      </w:pPr>
    </w:p>
    <w:p w:rsidR="00A957F0" w:rsidRDefault="00A957F0" w:rsidP="00AB137D">
      <w:pPr>
        <w:jc w:val="both"/>
      </w:pPr>
      <w:r>
        <w:t>Para realizar un análisis del estado de todo escenario, es crucial la cantidad, confiabilidad y posteriormente análisis de antecedentes y parámetros concretos de dicho escenario.</w:t>
      </w:r>
    </w:p>
    <w:p w:rsidR="00A957F0" w:rsidRDefault="00A957F0" w:rsidP="00AB137D">
      <w:pPr>
        <w:jc w:val="both"/>
      </w:pPr>
    </w:p>
    <w:p w:rsidR="00A957F0" w:rsidRDefault="00A957F0" w:rsidP="00AB137D">
      <w:pPr>
        <w:jc w:val="both"/>
      </w:pPr>
      <w:r>
        <w:t>En el caso particular de la gestión de residuos sólidos domiciliarios, en adelante RSD, no existe aún un ente o plataforma que reúna y/o genere análisis periódicos del estado de situación, como sí es en el caso de la gestión del agua potable y alcantarillado, el mercado eléctrico, la salud o la educación en el país.</w:t>
      </w:r>
    </w:p>
    <w:p w:rsidR="00A957F0" w:rsidRDefault="00A957F0" w:rsidP="00AB137D">
      <w:pPr>
        <w:jc w:val="both"/>
      </w:pPr>
    </w:p>
    <w:p w:rsidR="00A957F0" w:rsidRDefault="00A957F0" w:rsidP="00AB137D">
      <w:pPr>
        <w:jc w:val="both"/>
      </w:pPr>
      <w:r>
        <w:t>Existe un reporte del Ministerio del Medio ambiente, publicado el año 2010, que</w:t>
      </w:r>
      <w:r w:rsidR="00B64C56">
        <w:t xml:space="preserve"> entre varios capítulos de temá</w:t>
      </w:r>
      <w:r>
        <w:t>tica ambiental, aborda uno específico respecto de los residuos, tanto domiciliarios como industriales.</w:t>
      </w:r>
    </w:p>
    <w:p w:rsidR="00A957F0" w:rsidRDefault="00A957F0" w:rsidP="00AB137D">
      <w:pPr>
        <w:jc w:val="both"/>
      </w:pPr>
    </w:p>
    <w:p w:rsidR="009976CE" w:rsidRDefault="009976CE" w:rsidP="00AB137D">
      <w:pPr>
        <w:jc w:val="both"/>
      </w:pPr>
      <w:r>
        <w:t xml:space="preserve">En dicho reporte, sin embargo, explicita que los antecedentes son a base de estimaciones y que se están desarrollando herramientas para un seguimiento más preciso, como lo es la implementación de una plataforma de declaración voluntaria. </w:t>
      </w:r>
    </w:p>
    <w:p w:rsidR="009976CE" w:rsidRDefault="009976CE" w:rsidP="00AB137D">
      <w:pPr>
        <w:jc w:val="both"/>
      </w:pPr>
    </w:p>
    <w:p w:rsidR="00473FF9" w:rsidRDefault="00AF4A4B" w:rsidP="00AF4A4B">
      <w:pPr>
        <w:tabs>
          <w:tab w:val="center" w:pos="4252"/>
        </w:tabs>
        <w:jc w:val="both"/>
        <w:rPr>
          <w:bCs/>
          <w:lang w:val="es-ES_tradnl"/>
        </w:rPr>
      </w:pPr>
      <w:r>
        <w:t xml:space="preserve">Es por esto, que se ha llevado a cabo una intenso trabajo, en diferente etapas y modalidades para recabar información respecto a la situación real en la gestión actual de RSD. Esta recopilación </w:t>
      </w:r>
      <w:r>
        <w:rPr>
          <w:bCs/>
          <w:lang w:val="es-ES_tradnl"/>
        </w:rPr>
        <w:t>corresponde por una parte, a un levantamiento de información desde los portales de información municipal de acceso público, portal</w:t>
      </w:r>
      <w:r w:rsidR="00473FF9">
        <w:rPr>
          <w:bCs/>
          <w:lang w:val="es-ES_tradnl"/>
        </w:rPr>
        <w:t xml:space="preserve">es tales como INE, SINIM, CENSO, Banco Integrado de Proyecto, </w:t>
      </w:r>
      <w:r>
        <w:rPr>
          <w:bCs/>
          <w:lang w:val="es-ES_tradnl"/>
        </w:rPr>
        <w:t>entre otros, con las características principales de cada uno de los 345 Municipios que componen Chile.</w:t>
      </w:r>
      <w:r w:rsidRPr="00AF4A4B">
        <w:rPr>
          <w:bCs/>
          <w:lang w:val="es-ES_tradnl"/>
        </w:rPr>
        <w:t xml:space="preserve"> </w:t>
      </w:r>
    </w:p>
    <w:p w:rsidR="00473FF9" w:rsidRDefault="00473FF9" w:rsidP="00AF4A4B">
      <w:pPr>
        <w:tabs>
          <w:tab w:val="center" w:pos="4252"/>
        </w:tabs>
        <w:jc w:val="both"/>
        <w:rPr>
          <w:bCs/>
          <w:lang w:val="es-ES_tradnl"/>
        </w:rPr>
      </w:pPr>
      <w:r>
        <w:rPr>
          <w:bCs/>
          <w:lang w:val="es-ES_tradnl"/>
        </w:rPr>
        <w:t xml:space="preserve">Por otra parte, se configuró un sistema de encuesta en línea, </w:t>
      </w:r>
      <w:r w:rsidR="00AF4A4B">
        <w:rPr>
          <w:bCs/>
          <w:lang w:val="es-ES_tradnl"/>
        </w:rPr>
        <w:t xml:space="preserve">para recopilar información sobre las características de la gestión y manejo de RSD </w:t>
      </w:r>
      <w:r>
        <w:rPr>
          <w:bCs/>
          <w:lang w:val="es-ES_tradnl"/>
        </w:rPr>
        <w:t>de dicho municipio y posteriormente consulta acogiéndose a Transparencia pública, para mejorar la tasa de respuesta.</w:t>
      </w:r>
    </w:p>
    <w:p w:rsidR="00AF4A4B" w:rsidRDefault="00AF4A4B" w:rsidP="00AF4A4B">
      <w:pPr>
        <w:tabs>
          <w:tab w:val="center" w:pos="4252"/>
        </w:tabs>
        <w:jc w:val="both"/>
        <w:rPr>
          <w:bCs/>
          <w:lang w:val="es-ES_tradnl"/>
        </w:rPr>
      </w:pPr>
    </w:p>
    <w:p w:rsidR="00AF4A4B" w:rsidRDefault="00473FF9" w:rsidP="00AB137D">
      <w:pPr>
        <w:jc w:val="both"/>
      </w:pPr>
      <w:r>
        <w:t>A la fecha se ha recopilado antecedentes de 209 municipios, logrando un 60% de cobertura, respectos de los cuales se realiza el presente análisis.</w:t>
      </w:r>
    </w:p>
    <w:p w:rsidR="00AF4A4B" w:rsidRDefault="00AF4A4B" w:rsidP="00AB137D">
      <w:pPr>
        <w:jc w:val="both"/>
      </w:pPr>
    </w:p>
    <w:p w:rsidR="00AF4A4B" w:rsidRDefault="00AF4A4B" w:rsidP="00AB137D">
      <w:pPr>
        <w:jc w:val="both"/>
      </w:pPr>
    </w:p>
    <w:p w:rsidR="00AF4A4B" w:rsidRDefault="00AF4A4B" w:rsidP="00AB137D">
      <w:pPr>
        <w:jc w:val="both"/>
      </w:pPr>
    </w:p>
    <w:p w:rsidR="00AF4A4B" w:rsidRDefault="00AF4A4B" w:rsidP="00AB137D">
      <w:pPr>
        <w:jc w:val="both"/>
      </w:pPr>
    </w:p>
    <w:p w:rsidR="00BE7B32" w:rsidRDefault="00BE7B32">
      <w:pPr>
        <w:spacing w:after="200" w:line="276" w:lineRule="auto"/>
      </w:pPr>
      <w:r>
        <w:br w:type="page"/>
      </w:r>
    </w:p>
    <w:p w:rsidR="00AF4A4B" w:rsidRDefault="00AF4A4B" w:rsidP="00AB137D">
      <w:pPr>
        <w:jc w:val="both"/>
      </w:pPr>
    </w:p>
    <w:p w:rsidR="00B52A1B" w:rsidRPr="00B52A1B" w:rsidRDefault="00B52A1B" w:rsidP="00AF4A4B">
      <w:pPr>
        <w:pStyle w:val="Ttulo1"/>
        <w:jc w:val="both"/>
      </w:pPr>
      <w:bookmarkStart w:id="15" w:name="_Toc405237624"/>
      <w:r w:rsidRPr="00B52A1B">
        <w:t>Conceptualización de la cadena de gestión de RSD</w:t>
      </w:r>
      <w:bookmarkEnd w:id="15"/>
    </w:p>
    <w:p w:rsidR="00B52A1B" w:rsidRDefault="00B52A1B" w:rsidP="00AB137D">
      <w:pPr>
        <w:jc w:val="both"/>
      </w:pPr>
    </w:p>
    <w:p w:rsidR="009976CE" w:rsidRDefault="009976CE" w:rsidP="00AB137D">
      <w:pPr>
        <w:jc w:val="both"/>
      </w:pPr>
      <w:r>
        <w:t>Hoy en día, la gestión de RSD es responsabilidad de los municipios, quienes en algunos casos externalizan parte o totalidad de la cadena del proceso de gestión.</w:t>
      </w:r>
    </w:p>
    <w:p w:rsidR="00473FF9" w:rsidRDefault="00473FF9" w:rsidP="00AB137D">
      <w:pPr>
        <w:jc w:val="both"/>
      </w:pPr>
    </w:p>
    <w:p w:rsidR="00473FF9" w:rsidRDefault="00473FF9" w:rsidP="00473FF9">
      <w:pPr>
        <w:jc w:val="both"/>
      </w:pPr>
      <w:r>
        <w:t>A continuación se presenta una conceptualización de la cadena de gestión como referencia a los términos que se utilizan más adelante.</w:t>
      </w:r>
    </w:p>
    <w:p w:rsidR="00473FF9" w:rsidRDefault="00473FF9" w:rsidP="00AB137D">
      <w:pPr>
        <w:jc w:val="both"/>
      </w:pPr>
    </w:p>
    <w:p w:rsidR="009976CE" w:rsidRDefault="00BE7B32" w:rsidP="00AB137D">
      <w:pPr>
        <w:jc w:val="both"/>
      </w:pPr>
      <w:r w:rsidRPr="00BE7B32">
        <w:rPr>
          <w:noProof/>
          <w:lang w:val="es-CL" w:eastAsia="es-CL"/>
        </w:rPr>
        <w:drawing>
          <wp:inline distT="0" distB="0" distL="0" distR="0">
            <wp:extent cx="6115050" cy="3983864"/>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t="8232" r="8182" b="12107"/>
                    <a:stretch>
                      <a:fillRect/>
                    </a:stretch>
                  </pic:blipFill>
                  <pic:spPr bwMode="auto">
                    <a:xfrm>
                      <a:off x="0" y="0"/>
                      <a:ext cx="6115050" cy="3983864"/>
                    </a:xfrm>
                    <a:prstGeom prst="rect">
                      <a:avLst/>
                    </a:prstGeom>
                    <a:noFill/>
                    <a:ln w="9525">
                      <a:noFill/>
                      <a:miter lim="800000"/>
                      <a:headEnd/>
                      <a:tailEnd/>
                    </a:ln>
                  </pic:spPr>
                </pic:pic>
              </a:graphicData>
            </a:graphic>
          </wp:inline>
        </w:drawing>
      </w:r>
    </w:p>
    <w:p w:rsidR="00AF4A4B" w:rsidRDefault="00AF4A4B" w:rsidP="00AB137D">
      <w:pPr>
        <w:jc w:val="both"/>
      </w:pPr>
    </w:p>
    <w:p w:rsidR="00E56C5D" w:rsidRDefault="00E56C5D" w:rsidP="00E56C5D">
      <w:pPr>
        <w:pStyle w:val="Epgrafe"/>
        <w:jc w:val="center"/>
      </w:pPr>
      <w:bookmarkStart w:id="16" w:name="_Toc405237655"/>
      <w:r>
        <w:t xml:space="preserve">Figura </w:t>
      </w:r>
      <w:r w:rsidR="00E733CF">
        <w:fldChar w:fldCharType="begin"/>
      </w:r>
      <w:r w:rsidR="00E733CF">
        <w:instrText xml:space="preserve"> STYLEREF 1 \s </w:instrText>
      </w:r>
      <w:r w:rsidR="00E733CF">
        <w:fldChar w:fldCharType="separate"/>
      </w:r>
      <w:r>
        <w:rPr>
          <w:noProof/>
        </w:rPr>
        <w:t>2.1</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1</w:t>
      </w:r>
      <w:r w:rsidR="00E733CF">
        <w:rPr>
          <w:noProof/>
        </w:rPr>
        <w:fldChar w:fldCharType="end"/>
      </w:r>
      <w:r>
        <w:t xml:space="preserve">: </w:t>
      </w:r>
      <w:r w:rsidRPr="00E56C5D">
        <w:t>Concepto gráfico de la cadena d gestión de RSD, sus actores y el entorno</w:t>
      </w:r>
      <w:bookmarkEnd w:id="16"/>
    </w:p>
    <w:p w:rsidR="00A932AB" w:rsidRDefault="00A932AB" w:rsidP="00AB137D">
      <w:pPr>
        <w:jc w:val="both"/>
      </w:pPr>
    </w:p>
    <w:p w:rsidR="00A932AB" w:rsidRDefault="00A932AB" w:rsidP="00AB137D">
      <w:pPr>
        <w:jc w:val="both"/>
      </w:pPr>
      <w:r>
        <w:t>Entendiendo que el proceso comienza en el momento de la generación de los residuos, en que participan principalmente los usuarios del sistema, existen también alternativas de gestión “aguas arriba” teniendo en mente los hábitos de consumo y empaquetamiento, que sin embrago están fuera del alcance del presente estudio.</w:t>
      </w:r>
    </w:p>
    <w:p w:rsidR="00A932AB" w:rsidRDefault="00A932AB" w:rsidP="00AB137D">
      <w:pPr>
        <w:jc w:val="both"/>
      </w:pPr>
    </w:p>
    <w:p w:rsidR="00A932AB" w:rsidRDefault="00A932AB" w:rsidP="00AB137D">
      <w:pPr>
        <w:jc w:val="both"/>
      </w:pPr>
      <w:r>
        <w:t xml:space="preserve">Como se verá a continuación, la mayor alternativa de tecnologías se encuentran en la modalidades de acopio intermedio (cercano al punto de generación, dentro o fuera de la vivienda) </w:t>
      </w:r>
      <w:r w:rsidR="00E047F6">
        <w:t>y su recolección, pero en cuanto a la revalorización, recuperación y/o disposición final, la opciones son menores.</w:t>
      </w:r>
    </w:p>
    <w:p w:rsidR="00A932AB" w:rsidRDefault="00A932AB" w:rsidP="00AB137D">
      <w:pPr>
        <w:jc w:val="both"/>
      </w:pPr>
    </w:p>
    <w:p w:rsidR="00A932AB" w:rsidRDefault="00A932AB" w:rsidP="00AB137D">
      <w:pPr>
        <w:jc w:val="both"/>
      </w:pPr>
    </w:p>
    <w:p w:rsidR="00896DB7" w:rsidRDefault="00896DB7">
      <w:pPr>
        <w:spacing w:after="200" w:line="276" w:lineRule="auto"/>
        <w:sectPr w:rsidR="00896DB7" w:rsidSect="00896DB7">
          <w:footerReference w:type="default" r:id="rId13"/>
          <w:pgSz w:w="11906" w:h="16838"/>
          <w:pgMar w:top="1417" w:right="1701" w:bottom="1417" w:left="1701" w:header="708" w:footer="708" w:gutter="0"/>
          <w:cols w:space="708"/>
          <w:docGrid w:linePitch="360"/>
        </w:sectPr>
      </w:pPr>
    </w:p>
    <w:p w:rsidR="00AF4A4B" w:rsidRDefault="00A932AB" w:rsidP="00A932AB">
      <w:pPr>
        <w:pStyle w:val="Ttulo1"/>
        <w:jc w:val="both"/>
      </w:pPr>
      <w:bookmarkStart w:id="17" w:name="_Toc405237625"/>
      <w:r>
        <w:lastRenderedPageBreak/>
        <w:t>Catastro de tecnologías aplicables a</w:t>
      </w:r>
      <w:r w:rsidR="00E047F6">
        <w:t xml:space="preserve"> </w:t>
      </w:r>
      <w:r>
        <w:t>l</w:t>
      </w:r>
      <w:r w:rsidR="00E047F6">
        <w:t>a</w:t>
      </w:r>
      <w:r>
        <w:t xml:space="preserve"> Gestión de RSD.</w:t>
      </w:r>
      <w:bookmarkEnd w:id="17"/>
    </w:p>
    <w:p w:rsidR="00E047F6" w:rsidRDefault="00E047F6" w:rsidP="00AB137D">
      <w:pPr>
        <w:jc w:val="both"/>
      </w:pPr>
    </w:p>
    <w:p w:rsidR="00E047F6" w:rsidRDefault="00E047F6" w:rsidP="00E56C5D">
      <w:pPr>
        <w:spacing w:after="240"/>
        <w:jc w:val="both"/>
      </w:pPr>
      <w:r>
        <w:t>En la siguiente tabla se presentan las principales tecnologías genéricas aplicables a las diferentes etapas del proceso de gestión de RSD</w:t>
      </w:r>
      <w:r w:rsidR="00D1441E">
        <w:t xml:space="preserve">. </w:t>
      </w:r>
      <w:r w:rsidR="00E56C5D">
        <w:t>La descripción detallada se encuentra en el anexo 1 del presente informe.</w:t>
      </w:r>
    </w:p>
    <w:p w:rsidR="00E56C5D" w:rsidRDefault="00E56C5D" w:rsidP="00E56C5D">
      <w:pPr>
        <w:pStyle w:val="Epgrafe"/>
        <w:jc w:val="center"/>
      </w:pPr>
      <w:bookmarkStart w:id="18" w:name="_Toc405237651"/>
      <w:r>
        <w:t xml:space="preserve">Tabla </w:t>
      </w:r>
      <w:r w:rsidR="00E733CF">
        <w:fldChar w:fldCharType="begin"/>
      </w:r>
      <w:r w:rsidR="00E733CF">
        <w:instrText xml:space="preserve"> STYLEREF 1 \s </w:instrText>
      </w:r>
      <w:r w:rsidR="00E733CF">
        <w:fldChar w:fldCharType="separate"/>
      </w:r>
      <w:r>
        <w:rPr>
          <w:noProof/>
        </w:rPr>
        <w:t>2.2</w:t>
      </w:r>
      <w:r w:rsidR="00E733CF">
        <w:rPr>
          <w:noProof/>
        </w:rPr>
        <w:fldChar w:fldCharType="end"/>
      </w:r>
      <w:r>
        <w:noBreakHyphen/>
      </w:r>
      <w:r w:rsidR="00E733CF">
        <w:fldChar w:fldCharType="begin"/>
      </w:r>
      <w:r w:rsidR="00E733CF">
        <w:instrText xml:space="preserve"> SEQ Tabla \* ARABIC \s 1 </w:instrText>
      </w:r>
      <w:r w:rsidR="00E733CF">
        <w:fldChar w:fldCharType="separate"/>
      </w:r>
      <w:r>
        <w:rPr>
          <w:noProof/>
        </w:rPr>
        <w:t>1</w:t>
      </w:r>
      <w:r w:rsidR="00E733CF">
        <w:rPr>
          <w:noProof/>
        </w:rPr>
        <w:fldChar w:fldCharType="end"/>
      </w:r>
      <w:r>
        <w:t>: Tecnologías Genéricas</w:t>
      </w:r>
      <w:bookmarkEnd w:id="18"/>
    </w:p>
    <w:p w:rsidR="00E047F6" w:rsidRPr="00896DB7" w:rsidRDefault="00896DB7" w:rsidP="00AB137D">
      <w:pPr>
        <w:jc w:val="both"/>
        <w:rPr>
          <w:lang w:val="es-CL"/>
        </w:rPr>
      </w:pPr>
      <w:r w:rsidRPr="00896DB7">
        <w:rPr>
          <w:noProof/>
          <w:lang w:val="es-CL" w:eastAsia="es-CL"/>
        </w:rPr>
        <w:drawing>
          <wp:inline distT="0" distB="0" distL="0" distR="0">
            <wp:extent cx="8892540" cy="3028932"/>
            <wp:effectExtent l="19050" t="0" r="381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8892540" cy="3028932"/>
                    </a:xfrm>
                    <a:prstGeom prst="rect">
                      <a:avLst/>
                    </a:prstGeom>
                    <a:noFill/>
                    <a:ln w="9525">
                      <a:noFill/>
                      <a:miter lim="800000"/>
                      <a:headEnd/>
                      <a:tailEnd/>
                    </a:ln>
                  </pic:spPr>
                </pic:pic>
              </a:graphicData>
            </a:graphic>
          </wp:inline>
        </w:drawing>
      </w:r>
    </w:p>
    <w:p w:rsidR="00E047F6" w:rsidRDefault="00E047F6" w:rsidP="00AB137D">
      <w:pPr>
        <w:jc w:val="both"/>
      </w:pPr>
    </w:p>
    <w:p w:rsidR="00896DB7" w:rsidRDefault="00896DB7">
      <w:pPr>
        <w:spacing w:after="200" w:line="276" w:lineRule="auto"/>
      </w:pPr>
      <w:r>
        <w:br w:type="page"/>
      </w:r>
    </w:p>
    <w:p w:rsidR="00896DB7" w:rsidRDefault="00896DB7" w:rsidP="00AB137D">
      <w:pPr>
        <w:jc w:val="both"/>
      </w:pPr>
    </w:p>
    <w:p w:rsidR="00896DB7" w:rsidRDefault="00896DB7" w:rsidP="00AB137D">
      <w:pPr>
        <w:jc w:val="both"/>
      </w:pPr>
      <w:r w:rsidRPr="00896DB7">
        <w:rPr>
          <w:noProof/>
          <w:lang w:val="es-CL" w:eastAsia="es-CL"/>
        </w:rPr>
        <w:drawing>
          <wp:inline distT="0" distB="0" distL="0" distR="0">
            <wp:extent cx="8892540" cy="3273548"/>
            <wp:effectExtent l="1905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8892540" cy="3273548"/>
                    </a:xfrm>
                    <a:prstGeom prst="rect">
                      <a:avLst/>
                    </a:prstGeom>
                    <a:noFill/>
                    <a:ln w="9525">
                      <a:noFill/>
                      <a:miter lim="800000"/>
                      <a:headEnd/>
                      <a:tailEnd/>
                    </a:ln>
                  </pic:spPr>
                </pic:pic>
              </a:graphicData>
            </a:graphic>
          </wp:inline>
        </w:drawing>
      </w:r>
    </w:p>
    <w:p w:rsidR="00896DB7" w:rsidRDefault="00896DB7" w:rsidP="00AB137D">
      <w:pPr>
        <w:jc w:val="both"/>
      </w:pPr>
    </w:p>
    <w:p w:rsidR="00896DB7" w:rsidRDefault="00896DB7" w:rsidP="00AB137D">
      <w:pPr>
        <w:jc w:val="both"/>
      </w:pPr>
    </w:p>
    <w:p w:rsidR="00896DB7" w:rsidRDefault="00896DB7">
      <w:pPr>
        <w:spacing w:after="200" w:line="276" w:lineRule="auto"/>
      </w:pPr>
      <w:r>
        <w:br w:type="page"/>
      </w:r>
    </w:p>
    <w:p w:rsidR="00896DB7" w:rsidRPr="00896DB7" w:rsidRDefault="00896DB7">
      <w:pPr>
        <w:spacing w:after="200" w:line="276" w:lineRule="auto"/>
        <w:rPr>
          <w:lang w:val="es-CL"/>
        </w:rPr>
      </w:pPr>
      <w:r w:rsidRPr="00896DB7">
        <w:rPr>
          <w:noProof/>
          <w:lang w:val="es-CL" w:eastAsia="es-CL"/>
        </w:rPr>
        <w:lastRenderedPageBreak/>
        <w:drawing>
          <wp:inline distT="0" distB="0" distL="0" distR="0">
            <wp:extent cx="8892540" cy="4352740"/>
            <wp:effectExtent l="1905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8892540" cy="4352740"/>
                    </a:xfrm>
                    <a:prstGeom prst="rect">
                      <a:avLst/>
                    </a:prstGeom>
                    <a:noFill/>
                    <a:ln w="9525">
                      <a:noFill/>
                      <a:miter lim="800000"/>
                      <a:headEnd/>
                      <a:tailEnd/>
                    </a:ln>
                  </pic:spPr>
                </pic:pic>
              </a:graphicData>
            </a:graphic>
          </wp:inline>
        </w:drawing>
      </w:r>
    </w:p>
    <w:p w:rsidR="00896DB7" w:rsidRDefault="00896DB7">
      <w:pPr>
        <w:spacing w:after="200" w:line="276" w:lineRule="auto"/>
      </w:pPr>
      <w:r>
        <w:br w:type="page"/>
      </w:r>
    </w:p>
    <w:p w:rsidR="00896DB7" w:rsidRDefault="00896DB7" w:rsidP="00AB137D">
      <w:pPr>
        <w:jc w:val="both"/>
      </w:pPr>
    </w:p>
    <w:p w:rsidR="00896DB7" w:rsidRDefault="00896DB7" w:rsidP="00AB137D">
      <w:pPr>
        <w:jc w:val="both"/>
      </w:pPr>
      <w:r w:rsidRPr="00896DB7">
        <w:rPr>
          <w:noProof/>
          <w:lang w:val="es-CL" w:eastAsia="es-CL"/>
        </w:rPr>
        <w:drawing>
          <wp:inline distT="0" distB="0" distL="0" distR="0">
            <wp:extent cx="8892540" cy="2762731"/>
            <wp:effectExtent l="19050" t="0" r="381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a:stretch>
                      <a:fillRect/>
                    </a:stretch>
                  </pic:blipFill>
                  <pic:spPr bwMode="auto">
                    <a:xfrm>
                      <a:off x="0" y="0"/>
                      <a:ext cx="8892540" cy="2762731"/>
                    </a:xfrm>
                    <a:prstGeom prst="rect">
                      <a:avLst/>
                    </a:prstGeom>
                    <a:noFill/>
                    <a:ln w="9525">
                      <a:noFill/>
                      <a:miter lim="800000"/>
                      <a:headEnd/>
                      <a:tailEnd/>
                    </a:ln>
                  </pic:spPr>
                </pic:pic>
              </a:graphicData>
            </a:graphic>
          </wp:inline>
        </w:drawing>
      </w:r>
    </w:p>
    <w:p w:rsidR="00896DB7" w:rsidRDefault="00896DB7" w:rsidP="00AB137D">
      <w:pPr>
        <w:jc w:val="both"/>
      </w:pPr>
    </w:p>
    <w:p w:rsidR="00896DB7" w:rsidRDefault="00896DB7" w:rsidP="00AB137D">
      <w:pPr>
        <w:jc w:val="both"/>
      </w:pPr>
    </w:p>
    <w:p w:rsidR="00896DB7" w:rsidRDefault="00896DB7" w:rsidP="00AB137D">
      <w:pPr>
        <w:jc w:val="both"/>
      </w:pPr>
    </w:p>
    <w:p w:rsidR="00896DB7" w:rsidRDefault="00896DB7">
      <w:pPr>
        <w:spacing w:after="200" w:line="276" w:lineRule="auto"/>
      </w:pPr>
      <w:r>
        <w:br w:type="page"/>
      </w:r>
    </w:p>
    <w:p w:rsidR="00896DB7" w:rsidRDefault="00D1441E" w:rsidP="00AB137D">
      <w:pPr>
        <w:jc w:val="both"/>
      </w:pPr>
      <w:r w:rsidRPr="00D1441E">
        <w:rPr>
          <w:noProof/>
          <w:lang w:val="es-CL" w:eastAsia="es-CL"/>
        </w:rPr>
        <w:lastRenderedPageBreak/>
        <w:drawing>
          <wp:inline distT="0" distB="0" distL="0" distR="0">
            <wp:extent cx="7805751" cy="5014373"/>
            <wp:effectExtent l="19050" t="0" r="4749"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a:stretch>
                      <a:fillRect/>
                    </a:stretch>
                  </pic:blipFill>
                  <pic:spPr bwMode="auto">
                    <a:xfrm>
                      <a:off x="0" y="0"/>
                      <a:ext cx="7812542" cy="5018736"/>
                    </a:xfrm>
                    <a:prstGeom prst="rect">
                      <a:avLst/>
                    </a:prstGeom>
                    <a:noFill/>
                    <a:ln w="9525">
                      <a:noFill/>
                      <a:miter lim="800000"/>
                      <a:headEnd/>
                      <a:tailEnd/>
                    </a:ln>
                  </pic:spPr>
                </pic:pic>
              </a:graphicData>
            </a:graphic>
          </wp:inline>
        </w:drawing>
      </w:r>
    </w:p>
    <w:p w:rsidR="00896DB7" w:rsidRDefault="00896DB7" w:rsidP="00AB137D">
      <w:pPr>
        <w:jc w:val="both"/>
      </w:pPr>
    </w:p>
    <w:p w:rsidR="00896DB7" w:rsidRDefault="00896DB7" w:rsidP="00AB137D">
      <w:pPr>
        <w:jc w:val="both"/>
        <w:sectPr w:rsidR="00896DB7" w:rsidSect="00896DB7">
          <w:pgSz w:w="16838" w:h="11906" w:orient="landscape"/>
          <w:pgMar w:top="1701" w:right="1417" w:bottom="1701" w:left="1417" w:header="708" w:footer="708" w:gutter="0"/>
          <w:cols w:space="708"/>
          <w:docGrid w:linePitch="360"/>
        </w:sectPr>
      </w:pPr>
    </w:p>
    <w:p w:rsidR="00896DB7" w:rsidRDefault="00896DB7" w:rsidP="00AB137D">
      <w:pPr>
        <w:jc w:val="both"/>
      </w:pPr>
    </w:p>
    <w:p w:rsidR="00AB137D" w:rsidRPr="00EF137A" w:rsidRDefault="00A932AB" w:rsidP="00AB137D">
      <w:pPr>
        <w:pStyle w:val="Ttulo1"/>
        <w:jc w:val="both"/>
      </w:pPr>
      <w:bookmarkStart w:id="19" w:name="_Toc405237626"/>
      <w:r>
        <w:t>Resultados</w:t>
      </w:r>
      <w:bookmarkEnd w:id="19"/>
    </w:p>
    <w:p w:rsidR="00AB137D" w:rsidRDefault="00AB137D" w:rsidP="00AB137D">
      <w:pPr>
        <w:jc w:val="both"/>
        <w:rPr>
          <w:rFonts w:asciiTheme="minorHAnsi" w:hAnsiTheme="minorHAnsi"/>
        </w:rPr>
      </w:pPr>
    </w:p>
    <w:p w:rsidR="00D1441E" w:rsidRDefault="00D1441E" w:rsidP="00AB137D">
      <w:pPr>
        <w:jc w:val="both"/>
        <w:rPr>
          <w:rFonts w:asciiTheme="minorHAnsi" w:hAnsiTheme="minorHAnsi"/>
        </w:rPr>
      </w:pPr>
      <w:r>
        <w:rPr>
          <w:rFonts w:asciiTheme="minorHAnsi" w:hAnsiTheme="minorHAnsi"/>
        </w:rPr>
        <w:t xml:space="preserve">Respecto de la existencia y/o aplicación de estas tecnologías en la situación actual se tiene los siguientes resultados, en base a la información recopilada </w:t>
      </w:r>
      <w:r w:rsidR="00251D8D">
        <w:rPr>
          <w:rFonts w:asciiTheme="minorHAnsi" w:hAnsiTheme="minorHAnsi"/>
        </w:rPr>
        <w:t>que corresponde a 209 munic</w:t>
      </w:r>
      <w:r w:rsidR="005403FC">
        <w:rPr>
          <w:rFonts w:asciiTheme="minorHAnsi" w:hAnsiTheme="minorHAnsi"/>
        </w:rPr>
        <w:t>ipios de un universo total de 34</w:t>
      </w:r>
      <w:r w:rsidR="00251D8D">
        <w:rPr>
          <w:rFonts w:asciiTheme="minorHAnsi" w:hAnsiTheme="minorHAnsi"/>
        </w:rPr>
        <w:t>5 a nivel nacional.</w:t>
      </w:r>
    </w:p>
    <w:p w:rsidR="00D1441E" w:rsidRPr="00EF137A" w:rsidRDefault="00D1441E" w:rsidP="00AB137D">
      <w:pPr>
        <w:jc w:val="both"/>
        <w:rPr>
          <w:rFonts w:asciiTheme="minorHAnsi" w:hAnsiTheme="minorHAnsi"/>
        </w:rPr>
      </w:pPr>
    </w:p>
    <w:p w:rsidR="00AB137D" w:rsidRPr="00EF137A" w:rsidRDefault="00251D8D" w:rsidP="00251D8D">
      <w:pPr>
        <w:pStyle w:val="Ttulo2"/>
      </w:pPr>
      <w:bookmarkStart w:id="20" w:name="_Toc405237627"/>
      <w:r>
        <w:t>Destino de los residuos sólidos</w:t>
      </w:r>
      <w:bookmarkEnd w:id="20"/>
    </w:p>
    <w:p w:rsidR="00AB137D" w:rsidRDefault="00AB137D" w:rsidP="00AB137D">
      <w:pPr>
        <w:jc w:val="both"/>
        <w:rPr>
          <w:rFonts w:asciiTheme="minorHAnsi" w:hAnsiTheme="minorHAnsi"/>
        </w:rPr>
      </w:pPr>
    </w:p>
    <w:p w:rsidR="00AB137D" w:rsidRDefault="00251D8D" w:rsidP="00AB137D">
      <w:pPr>
        <w:jc w:val="both"/>
        <w:rPr>
          <w:rFonts w:asciiTheme="minorHAnsi" w:hAnsiTheme="minorHAnsi"/>
        </w:rPr>
      </w:pPr>
      <w:r>
        <w:rPr>
          <w:rFonts w:asciiTheme="minorHAnsi" w:hAnsiTheme="minorHAnsi"/>
        </w:rPr>
        <w:t>Del total de antecedentes, todos los residuos son llevados a un sistema confiando de disposición final, sin identificarse iniciativas de revalorización energética, ni tratamiento. Si bien, existen iniciativas de reciclaje en varias de ellas (87, que corresponde al 42%), la cantidad desviada a este destino no es suficiente (o desconocida) como para reporta</w:t>
      </w:r>
      <w:r w:rsidR="009F661F">
        <w:rPr>
          <w:rFonts w:asciiTheme="minorHAnsi" w:hAnsiTheme="minorHAnsi"/>
        </w:rPr>
        <w:t>r</w:t>
      </w:r>
      <w:r>
        <w:rPr>
          <w:rFonts w:asciiTheme="minorHAnsi" w:hAnsiTheme="minorHAnsi"/>
        </w:rPr>
        <w:t>la como destino alternativo.</w:t>
      </w:r>
    </w:p>
    <w:p w:rsidR="00AB137D" w:rsidRDefault="00AB137D" w:rsidP="00AB137D">
      <w:pPr>
        <w:jc w:val="both"/>
        <w:rPr>
          <w:rFonts w:asciiTheme="minorHAnsi" w:hAnsiTheme="minorHAnsi"/>
        </w:rPr>
      </w:pPr>
    </w:p>
    <w:tbl>
      <w:tblPr>
        <w:tblW w:w="2892"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6"/>
        <w:gridCol w:w="1216"/>
      </w:tblGrid>
      <w:tr w:rsidR="00251D8D" w:rsidRPr="00251D8D" w:rsidTr="0007094F">
        <w:trPr>
          <w:trHeight w:val="300"/>
          <w:jc w:val="center"/>
        </w:trPr>
        <w:tc>
          <w:tcPr>
            <w:tcW w:w="1676" w:type="dxa"/>
            <w:shd w:val="clear" w:color="auto" w:fill="000000" w:themeFill="text1"/>
            <w:noWrap/>
            <w:vAlign w:val="bottom"/>
            <w:hideMark/>
          </w:tcPr>
          <w:p w:rsidR="00251D8D" w:rsidRPr="00251D8D" w:rsidRDefault="00251D8D" w:rsidP="00251D8D">
            <w:pPr>
              <w:rPr>
                <w:rFonts w:ascii="Calibri" w:hAnsi="Calibri" w:cs="Times New Roman"/>
                <w:color w:val="FFFFFF" w:themeColor="background1"/>
                <w:lang w:val="es-CL" w:eastAsia="es-CL"/>
              </w:rPr>
            </w:pPr>
            <w:r w:rsidRPr="00251D8D">
              <w:rPr>
                <w:rFonts w:ascii="Calibri" w:hAnsi="Calibri" w:cs="Times New Roman"/>
                <w:color w:val="FFFFFF" w:themeColor="background1"/>
                <w:lang w:val="es-CL" w:eastAsia="es-CL"/>
              </w:rPr>
              <w:t>Total</w:t>
            </w:r>
          </w:p>
        </w:tc>
        <w:tc>
          <w:tcPr>
            <w:tcW w:w="1216" w:type="dxa"/>
            <w:shd w:val="clear" w:color="auto" w:fill="000000" w:themeFill="text1"/>
            <w:noWrap/>
            <w:vAlign w:val="bottom"/>
            <w:hideMark/>
          </w:tcPr>
          <w:p w:rsidR="00251D8D" w:rsidRPr="00251D8D" w:rsidRDefault="00251D8D" w:rsidP="00251D8D">
            <w:pPr>
              <w:jc w:val="right"/>
              <w:rPr>
                <w:rFonts w:ascii="Calibri" w:hAnsi="Calibri" w:cs="Times New Roman"/>
                <w:color w:val="FFFFFF" w:themeColor="background1"/>
                <w:lang w:val="es-CL" w:eastAsia="es-CL"/>
              </w:rPr>
            </w:pPr>
            <w:r w:rsidRPr="00251D8D">
              <w:rPr>
                <w:rFonts w:ascii="Calibri" w:hAnsi="Calibri" w:cs="Times New Roman"/>
                <w:color w:val="FFFFFF" w:themeColor="background1"/>
                <w:lang w:val="es-CL" w:eastAsia="es-CL"/>
              </w:rPr>
              <w:t>209</w:t>
            </w:r>
          </w:p>
        </w:tc>
      </w:tr>
      <w:tr w:rsidR="00251D8D" w:rsidRPr="00251D8D" w:rsidTr="0007094F">
        <w:trPr>
          <w:trHeight w:val="300"/>
          <w:jc w:val="center"/>
        </w:trPr>
        <w:tc>
          <w:tcPr>
            <w:tcW w:w="1676" w:type="dxa"/>
            <w:shd w:val="clear" w:color="auto" w:fill="auto"/>
            <w:noWrap/>
            <w:vAlign w:val="bottom"/>
            <w:hideMark/>
          </w:tcPr>
          <w:p w:rsidR="00251D8D" w:rsidRPr="00251D8D" w:rsidRDefault="00251D8D" w:rsidP="00251D8D">
            <w:pPr>
              <w:rPr>
                <w:rFonts w:ascii="Calibri" w:hAnsi="Calibri" w:cs="Times New Roman"/>
                <w:color w:val="000000"/>
                <w:lang w:val="es-CL" w:eastAsia="es-CL"/>
              </w:rPr>
            </w:pPr>
            <w:r w:rsidRPr="00251D8D">
              <w:rPr>
                <w:rFonts w:ascii="Calibri" w:hAnsi="Calibri" w:cs="Times New Roman"/>
                <w:color w:val="000000"/>
                <w:lang w:val="es-CL" w:eastAsia="es-CL"/>
              </w:rPr>
              <w:t>Vertedero</w:t>
            </w:r>
          </w:p>
        </w:tc>
        <w:tc>
          <w:tcPr>
            <w:tcW w:w="1216" w:type="dxa"/>
            <w:shd w:val="clear" w:color="auto" w:fill="auto"/>
            <w:noWrap/>
            <w:vAlign w:val="bottom"/>
            <w:hideMark/>
          </w:tcPr>
          <w:p w:rsidR="00251D8D" w:rsidRPr="00251D8D" w:rsidRDefault="00251D8D" w:rsidP="00251D8D">
            <w:pPr>
              <w:jc w:val="right"/>
              <w:rPr>
                <w:rFonts w:ascii="Calibri" w:hAnsi="Calibri" w:cs="Times New Roman"/>
                <w:color w:val="000000"/>
                <w:lang w:val="es-CL" w:eastAsia="es-CL"/>
              </w:rPr>
            </w:pPr>
            <w:r w:rsidRPr="00251D8D">
              <w:rPr>
                <w:rFonts w:ascii="Calibri" w:hAnsi="Calibri" w:cs="Times New Roman"/>
                <w:color w:val="000000"/>
                <w:lang w:val="es-CL" w:eastAsia="es-CL"/>
              </w:rPr>
              <w:t>96</w:t>
            </w:r>
          </w:p>
        </w:tc>
      </w:tr>
      <w:tr w:rsidR="00251D8D" w:rsidRPr="00251D8D" w:rsidTr="0007094F">
        <w:trPr>
          <w:trHeight w:val="300"/>
          <w:jc w:val="center"/>
        </w:trPr>
        <w:tc>
          <w:tcPr>
            <w:tcW w:w="1676" w:type="dxa"/>
            <w:shd w:val="clear" w:color="auto" w:fill="auto"/>
            <w:noWrap/>
            <w:vAlign w:val="bottom"/>
            <w:hideMark/>
          </w:tcPr>
          <w:p w:rsidR="00251D8D" w:rsidRPr="00251D8D" w:rsidRDefault="00251D8D" w:rsidP="00251D8D">
            <w:pPr>
              <w:rPr>
                <w:rFonts w:ascii="Calibri" w:hAnsi="Calibri" w:cs="Times New Roman"/>
                <w:color w:val="000000"/>
                <w:lang w:val="es-CL" w:eastAsia="es-CL"/>
              </w:rPr>
            </w:pPr>
            <w:r w:rsidRPr="00251D8D">
              <w:rPr>
                <w:rFonts w:ascii="Calibri" w:hAnsi="Calibri" w:cs="Times New Roman"/>
                <w:color w:val="000000"/>
                <w:lang w:val="es-CL" w:eastAsia="es-CL"/>
              </w:rPr>
              <w:t>Relleno Sanitario</w:t>
            </w:r>
          </w:p>
        </w:tc>
        <w:tc>
          <w:tcPr>
            <w:tcW w:w="1216" w:type="dxa"/>
            <w:shd w:val="clear" w:color="auto" w:fill="auto"/>
            <w:noWrap/>
            <w:vAlign w:val="bottom"/>
            <w:hideMark/>
          </w:tcPr>
          <w:p w:rsidR="00251D8D" w:rsidRPr="00251D8D" w:rsidRDefault="00251D8D" w:rsidP="00251D8D">
            <w:pPr>
              <w:jc w:val="right"/>
              <w:rPr>
                <w:rFonts w:ascii="Calibri" w:hAnsi="Calibri" w:cs="Times New Roman"/>
                <w:color w:val="000000"/>
                <w:lang w:val="es-CL" w:eastAsia="es-CL"/>
              </w:rPr>
            </w:pPr>
            <w:r w:rsidRPr="00251D8D">
              <w:rPr>
                <w:rFonts w:ascii="Calibri" w:hAnsi="Calibri" w:cs="Times New Roman"/>
                <w:color w:val="000000"/>
                <w:lang w:val="es-CL" w:eastAsia="es-CL"/>
              </w:rPr>
              <w:t>107</w:t>
            </w:r>
          </w:p>
        </w:tc>
      </w:tr>
      <w:tr w:rsidR="00251D8D" w:rsidRPr="00251D8D" w:rsidTr="0007094F">
        <w:trPr>
          <w:trHeight w:val="300"/>
          <w:jc w:val="center"/>
        </w:trPr>
        <w:tc>
          <w:tcPr>
            <w:tcW w:w="1676" w:type="dxa"/>
            <w:shd w:val="clear" w:color="auto" w:fill="auto"/>
            <w:noWrap/>
            <w:vAlign w:val="bottom"/>
            <w:hideMark/>
          </w:tcPr>
          <w:p w:rsidR="00251D8D" w:rsidRPr="00251D8D" w:rsidRDefault="00251D8D" w:rsidP="00251D8D">
            <w:pPr>
              <w:rPr>
                <w:rFonts w:ascii="Calibri" w:hAnsi="Calibri" w:cs="Times New Roman"/>
                <w:color w:val="000000"/>
                <w:lang w:val="es-CL" w:eastAsia="es-CL"/>
              </w:rPr>
            </w:pPr>
            <w:r w:rsidRPr="00251D8D">
              <w:rPr>
                <w:rFonts w:ascii="Calibri" w:hAnsi="Calibri" w:cs="Times New Roman"/>
                <w:color w:val="000000"/>
                <w:lang w:val="es-CL" w:eastAsia="es-CL"/>
              </w:rPr>
              <w:t>No responde</w:t>
            </w:r>
          </w:p>
        </w:tc>
        <w:tc>
          <w:tcPr>
            <w:tcW w:w="1216" w:type="dxa"/>
            <w:shd w:val="clear" w:color="auto" w:fill="auto"/>
            <w:noWrap/>
            <w:vAlign w:val="bottom"/>
            <w:hideMark/>
          </w:tcPr>
          <w:p w:rsidR="00251D8D" w:rsidRPr="00251D8D" w:rsidRDefault="00251D8D" w:rsidP="00251D8D">
            <w:pPr>
              <w:jc w:val="right"/>
              <w:rPr>
                <w:rFonts w:ascii="Calibri" w:hAnsi="Calibri" w:cs="Times New Roman"/>
                <w:color w:val="000000"/>
                <w:lang w:val="es-CL" w:eastAsia="es-CL"/>
              </w:rPr>
            </w:pPr>
            <w:r w:rsidRPr="00251D8D">
              <w:rPr>
                <w:rFonts w:ascii="Calibri" w:hAnsi="Calibri" w:cs="Times New Roman"/>
                <w:color w:val="000000"/>
                <w:lang w:val="es-CL" w:eastAsia="es-CL"/>
              </w:rPr>
              <w:t>6</w:t>
            </w:r>
          </w:p>
        </w:tc>
      </w:tr>
    </w:tbl>
    <w:p w:rsidR="00AB137D" w:rsidRDefault="00AB137D" w:rsidP="00AB137D">
      <w:pPr>
        <w:jc w:val="both"/>
        <w:rPr>
          <w:rFonts w:asciiTheme="minorHAnsi" w:hAnsiTheme="minorHAnsi"/>
        </w:rPr>
      </w:pPr>
    </w:p>
    <w:p w:rsidR="00AB137D" w:rsidRDefault="00251D8D" w:rsidP="00251D8D">
      <w:pPr>
        <w:jc w:val="center"/>
        <w:rPr>
          <w:rFonts w:asciiTheme="minorHAnsi" w:hAnsiTheme="minorHAnsi"/>
        </w:rPr>
      </w:pPr>
      <w:r w:rsidRPr="00251D8D">
        <w:rPr>
          <w:rFonts w:asciiTheme="minorHAnsi" w:hAnsiTheme="minorHAnsi"/>
          <w:noProof/>
          <w:lang w:val="es-CL" w:eastAsia="es-CL"/>
        </w:rPr>
        <w:drawing>
          <wp:inline distT="0" distB="0" distL="0" distR="0">
            <wp:extent cx="3971925" cy="2314575"/>
            <wp:effectExtent l="19050" t="0" r="9525" b="0"/>
            <wp:docPr id="1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B137D" w:rsidRDefault="00AB137D" w:rsidP="00AB137D">
      <w:pPr>
        <w:jc w:val="both"/>
        <w:rPr>
          <w:rFonts w:asciiTheme="minorHAnsi" w:hAnsiTheme="minorHAnsi"/>
        </w:rPr>
      </w:pPr>
    </w:p>
    <w:p w:rsidR="00E56C5D" w:rsidRDefault="00E56C5D" w:rsidP="00E56C5D">
      <w:pPr>
        <w:pStyle w:val="Epgrafe"/>
        <w:jc w:val="center"/>
      </w:pPr>
      <w:bookmarkStart w:id="21" w:name="_Toc405237656"/>
      <w:r>
        <w:t xml:space="preserve">Figura </w:t>
      </w:r>
      <w:r w:rsidR="00E733CF">
        <w:fldChar w:fldCharType="begin"/>
      </w:r>
      <w:r w:rsidR="00E733CF">
        <w:instrText xml:space="preserve"> STYLEREF 1 \s </w:instrText>
      </w:r>
      <w:r w:rsidR="00E733CF">
        <w:fldChar w:fldCharType="separate"/>
      </w:r>
      <w:r>
        <w:rPr>
          <w:noProof/>
        </w:rPr>
        <w:t>2.1</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1</w:t>
      </w:r>
      <w:r w:rsidR="00E733CF">
        <w:rPr>
          <w:noProof/>
        </w:rPr>
        <w:fldChar w:fldCharType="end"/>
      </w:r>
      <w:r>
        <w:t>: Lugar de disposición final de RSD, nacional</w:t>
      </w:r>
      <w:bookmarkEnd w:id="21"/>
    </w:p>
    <w:p w:rsidR="00AB137D" w:rsidRPr="00E56C5D" w:rsidRDefault="00AB137D" w:rsidP="00AB137D">
      <w:pPr>
        <w:jc w:val="both"/>
        <w:rPr>
          <w:rFonts w:asciiTheme="minorHAnsi" w:hAnsiTheme="minorHAnsi"/>
          <w:lang w:val="es-CL"/>
        </w:rPr>
      </w:pPr>
    </w:p>
    <w:p w:rsidR="00AB137D" w:rsidRDefault="00251D8D" w:rsidP="00AB137D">
      <w:pPr>
        <w:jc w:val="both"/>
        <w:rPr>
          <w:rFonts w:asciiTheme="minorHAnsi" w:hAnsiTheme="minorHAnsi"/>
        </w:rPr>
      </w:pPr>
      <w:r>
        <w:rPr>
          <w:rFonts w:asciiTheme="minorHAnsi" w:hAnsiTheme="minorHAnsi"/>
        </w:rPr>
        <w:t>Otro aspecto interesante respecto del destino</w:t>
      </w:r>
      <w:r w:rsidR="009F2D55">
        <w:rPr>
          <w:rFonts w:asciiTheme="minorHAnsi" w:hAnsiTheme="minorHAnsi"/>
        </w:rPr>
        <w:t xml:space="preserve"> de los RSD es que la gran mayoría está en manos de administración privada y fuera de su comuna. Es decir, que existen varias comunas que no cargan con el pasivo ambiental de la disposición de sus residuos.</w:t>
      </w:r>
    </w:p>
    <w:p w:rsidR="009F2D55" w:rsidRDefault="009F2D55" w:rsidP="00AB137D">
      <w:pPr>
        <w:jc w:val="both"/>
        <w:rPr>
          <w:rFonts w:asciiTheme="minorHAnsi" w:hAnsiTheme="minorHAnsi"/>
        </w:rPr>
      </w:pPr>
    </w:p>
    <w:p w:rsidR="009F2D55" w:rsidRDefault="009F2D55" w:rsidP="00AB137D">
      <w:pPr>
        <w:jc w:val="both"/>
        <w:rPr>
          <w:rFonts w:asciiTheme="minorHAnsi" w:hAnsiTheme="minorHAnsi"/>
        </w:rPr>
      </w:pPr>
      <w:r>
        <w:rPr>
          <w:rFonts w:asciiTheme="minorHAnsi" w:hAnsiTheme="minorHAnsi"/>
        </w:rPr>
        <w:t>En la siguientes figuras de grafican los antecedentes:</w:t>
      </w:r>
    </w:p>
    <w:p w:rsidR="009F2D55" w:rsidRDefault="009F2D55" w:rsidP="00AB137D">
      <w:pPr>
        <w:jc w:val="both"/>
        <w:rPr>
          <w:rFonts w:asciiTheme="minorHAnsi" w:hAnsiTheme="minorHAnsi"/>
        </w:rPr>
      </w:pPr>
    </w:p>
    <w:p w:rsidR="00AB137D" w:rsidRDefault="00AB137D" w:rsidP="00AB137D">
      <w:pPr>
        <w:jc w:val="both"/>
        <w:rPr>
          <w:rFonts w:asciiTheme="minorHAnsi" w:hAnsiTheme="minorHAnsi"/>
        </w:rPr>
      </w:pPr>
    </w:p>
    <w:tbl>
      <w:tblPr>
        <w:tblStyle w:val="Tablaconcuadrcula"/>
        <w:tblW w:w="0" w:type="auto"/>
        <w:tblLook w:val="04A0" w:firstRow="1" w:lastRow="0" w:firstColumn="1" w:lastColumn="0" w:noHBand="0" w:noVBand="1"/>
      </w:tblPr>
      <w:tblGrid>
        <w:gridCol w:w="4322"/>
        <w:gridCol w:w="4626"/>
      </w:tblGrid>
      <w:tr w:rsidR="009F2D55" w:rsidTr="00E56C5D">
        <w:tc>
          <w:tcPr>
            <w:tcW w:w="4322" w:type="dxa"/>
          </w:tcPr>
          <w:p w:rsidR="009F2D55" w:rsidRDefault="009F661F" w:rsidP="00AB137D">
            <w:pPr>
              <w:jc w:val="both"/>
              <w:rPr>
                <w:rFonts w:asciiTheme="minorHAnsi" w:hAnsiTheme="minorHAnsi"/>
              </w:rPr>
            </w:pPr>
            <w:r w:rsidRPr="009F661F">
              <w:rPr>
                <w:rFonts w:asciiTheme="minorHAnsi" w:hAnsiTheme="minorHAnsi"/>
                <w:noProof/>
                <w:lang w:val="es-CL" w:eastAsia="es-CL"/>
              </w:rPr>
              <w:lastRenderedPageBreak/>
              <w:drawing>
                <wp:inline distT="0" distB="0" distL="0" distR="0">
                  <wp:extent cx="2533650" cy="2743200"/>
                  <wp:effectExtent l="19050" t="0" r="19050" b="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4626" w:type="dxa"/>
          </w:tcPr>
          <w:p w:rsidR="009F2D55" w:rsidRDefault="009F661F" w:rsidP="00AB137D">
            <w:pPr>
              <w:jc w:val="both"/>
              <w:rPr>
                <w:rFonts w:asciiTheme="minorHAnsi" w:hAnsiTheme="minorHAnsi"/>
              </w:rPr>
            </w:pPr>
            <w:r w:rsidRPr="009F661F">
              <w:rPr>
                <w:rFonts w:asciiTheme="minorHAnsi" w:hAnsiTheme="minorHAnsi"/>
                <w:noProof/>
                <w:lang w:val="es-CL" w:eastAsia="es-CL"/>
              </w:rPr>
              <w:drawing>
                <wp:inline distT="0" distB="0" distL="0" distR="0">
                  <wp:extent cx="2758440" cy="2647950"/>
                  <wp:effectExtent l="19050" t="0" r="22860" b="0"/>
                  <wp:docPr id="12"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rsidR="00E56C5D" w:rsidRDefault="00E56C5D" w:rsidP="00E56C5D">
      <w:pPr>
        <w:pStyle w:val="Epgrafe"/>
        <w:jc w:val="center"/>
      </w:pPr>
      <w:bookmarkStart w:id="22" w:name="_Toc405237657"/>
      <w:r>
        <w:t xml:space="preserve">Figura </w:t>
      </w:r>
      <w:r w:rsidR="00E733CF">
        <w:fldChar w:fldCharType="begin"/>
      </w:r>
      <w:r w:rsidR="00E733CF">
        <w:instrText xml:space="preserve"> STYLEREF 1 \s </w:instrText>
      </w:r>
      <w:r w:rsidR="00E733CF">
        <w:fldChar w:fldCharType="separate"/>
      </w:r>
      <w:r>
        <w:rPr>
          <w:noProof/>
        </w:rPr>
        <w:t>4</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2</w:t>
      </w:r>
      <w:r w:rsidR="00E733CF">
        <w:rPr>
          <w:noProof/>
        </w:rPr>
        <w:fldChar w:fldCharType="end"/>
      </w:r>
      <w:r>
        <w:t>: Gráfica porcentual del tipo de localización y tipo de administración de la disposición final</w:t>
      </w:r>
      <w:bookmarkEnd w:id="22"/>
    </w:p>
    <w:p w:rsidR="009F2D55" w:rsidRPr="00E56C5D" w:rsidRDefault="009F2D55" w:rsidP="00AB137D">
      <w:pPr>
        <w:jc w:val="both"/>
        <w:rPr>
          <w:rFonts w:asciiTheme="minorHAnsi" w:hAnsiTheme="minorHAnsi"/>
          <w:lang w:val="es-CL"/>
        </w:rPr>
      </w:pPr>
    </w:p>
    <w:p w:rsidR="00AB137D" w:rsidRDefault="00AB137D" w:rsidP="00AB137D">
      <w:pPr>
        <w:jc w:val="both"/>
        <w:rPr>
          <w:rFonts w:asciiTheme="minorHAnsi" w:hAnsiTheme="minorHAnsi"/>
        </w:rPr>
      </w:pPr>
    </w:p>
    <w:p w:rsidR="009F661F" w:rsidRPr="00EF137A" w:rsidRDefault="00F32EB8" w:rsidP="009F661F">
      <w:pPr>
        <w:pStyle w:val="Ttulo2"/>
      </w:pPr>
      <w:bookmarkStart w:id="23" w:name="_Toc405237628"/>
      <w:r>
        <w:t>Recolección de</w:t>
      </w:r>
      <w:r w:rsidR="009F661F">
        <w:t xml:space="preserve"> los residuos sólidos</w:t>
      </w:r>
      <w:bookmarkEnd w:id="23"/>
    </w:p>
    <w:p w:rsidR="00AB137D" w:rsidRDefault="00AB137D" w:rsidP="00AB137D">
      <w:pPr>
        <w:jc w:val="both"/>
        <w:rPr>
          <w:rFonts w:asciiTheme="minorHAnsi" w:hAnsiTheme="minorHAnsi"/>
        </w:rPr>
      </w:pPr>
    </w:p>
    <w:p w:rsidR="00AB137D" w:rsidRDefault="00E5621C" w:rsidP="00AB137D">
      <w:pPr>
        <w:jc w:val="both"/>
        <w:rPr>
          <w:rFonts w:asciiTheme="minorHAnsi" w:hAnsiTheme="minorHAnsi"/>
        </w:rPr>
      </w:pPr>
      <w:r>
        <w:rPr>
          <w:rFonts w:asciiTheme="minorHAnsi" w:hAnsiTheme="minorHAnsi"/>
        </w:rPr>
        <w:t xml:space="preserve">En la recolección la participación de los emprendimientos privados es menor, </w:t>
      </w:r>
      <w:r w:rsidR="005128EC">
        <w:rPr>
          <w:rFonts w:asciiTheme="minorHAnsi" w:hAnsiTheme="minorHAnsi"/>
        </w:rPr>
        <w:t xml:space="preserve">siendo aproximadamente el 44%. Es decir, que en este aspecto la administración municipal tiene mayor </w:t>
      </w:r>
      <w:r w:rsidR="005403FC">
        <w:rPr>
          <w:rFonts w:asciiTheme="minorHAnsi" w:hAnsiTheme="minorHAnsi"/>
        </w:rPr>
        <w:t>injerencia</w:t>
      </w:r>
      <w:r w:rsidR="005128EC">
        <w:rPr>
          <w:rFonts w:asciiTheme="minorHAnsi" w:hAnsiTheme="minorHAnsi"/>
        </w:rPr>
        <w:t xml:space="preserve"> en su mejora continua, siendo además inversiones de menor plazo que las de disposición o tratamiento final.</w:t>
      </w:r>
    </w:p>
    <w:p w:rsidR="005128EC" w:rsidRDefault="005128EC" w:rsidP="00AB137D">
      <w:pPr>
        <w:jc w:val="both"/>
        <w:rPr>
          <w:rFonts w:asciiTheme="minorHAnsi" w:hAnsiTheme="minorHAnsi"/>
        </w:rPr>
      </w:pPr>
    </w:p>
    <w:p w:rsidR="005128EC" w:rsidRDefault="005128EC" w:rsidP="00AB137D">
      <w:pPr>
        <w:jc w:val="both"/>
        <w:rPr>
          <w:rFonts w:asciiTheme="minorHAnsi" w:hAnsiTheme="minorHAnsi"/>
        </w:rPr>
      </w:pPr>
      <w:r>
        <w:rPr>
          <w:rFonts w:asciiTheme="minorHAnsi" w:hAnsiTheme="minorHAnsi"/>
        </w:rPr>
        <w:t xml:space="preserve">Respecto a la modalidad de recolección, el servicio puerta a puerta, aún está cerca del 50% de los casos, si se considera que el sistema mixto, también lo realiza. Se entiende como mixto </w:t>
      </w:r>
      <w:r w:rsidR="000F3E4F">
        <w:rPr>
          <w:rFonts w:asciiTheme="minorHAnsi" w:hAnsiTheme="minorHAnsi"/>
        </w:rPr>
        <w:t>la</w:t>
      </w:r>
      <w:r>
        <w:rPr>
          <w:rFonts w:asciiTheme="minorHAnsi" w:hAnsiTheme="minorHAnsi"/>
        </w:rPr>
        <w:t xml:space="preserve"> recolección por contenerización en algunos sectores, y puerta a puerta en otros.</w:t>
      </w:r>
    </w:p>
    <w:p w:rsidR="000F3E4F" w:rsidRDefault="000F3E4F" w:rsidP="00AB137D">
      <w:pPr>
        <w:jc w:val="both"/>
        <w:rPr>
          <w:rFonts w:asciiTheme="minorHAnsi" w:hAnsiTheme="minorHAnsi"/>
        </w:rPr>
      </w:pPr>
    </w:p>
    <w:p w:rsidR="000F3E4F" w:rsidRDefault="000F3E4F" w:rsidP="00AB137D">
      <w:pPr>
        <w:jc w:val="both"/>
        <w:rPr>
          <w:rFonts w:asciiTheme="minorHAnsi" w:hAnsiTheme="minorHAnsi"/>
        </w:rPr>
      </w:pPr>
      <w:r>
        <w:rPr>
          <w:rFonts w:asciiTheme="minorHAnsi" w:hAnsiTheme="minorHAnsi"/>
        </w:rPr>
        <w:t>En la siguiente gráfica se resumen los aspectos mencionados anteriormente:</w:t>
      </w:r>
    </w:p>
    <w:p w:rsidR="000F3E4F" w:rsidRDefault="000F3E4F" w:rsidP="00AB137D">
      <w:pPr>
        <w:jc w:val="both"/>
        <w:rPr>
          <w:rFonts w:asciiTheme="minorHAnsi" w:hAnsiTheme="minorHAnsi"/>
        </w:rPr>
      </w:pPr>
    </w:p>
    <w:tbl>
      <w:tblPr>
        <w:tblStyle w:val="Tablaconcuadrcula"/>
        <w:tblW w:w="0" w:type="auto"/>
        <w:tblLook w:val="04A0" w:firstRow="1" w:lastRow="0" w:firstColumn="1" w:lastColumn="0" w:noHBand="0" w:noVBand="1"/>
      </w:tblPr>
      <w:tblGrid>
        <w:gridCol w:w="4322"/>
        <w:gridCol w:w="4956"/>
      </w:tblGrid>
      <w:tr w:rsidR="000F3E4F" w:rsidTr="00E56C5D">
        <w:trPr>
          <w:trHeight w:val="4153"/>
        </w:trPr>
        <w:tc>
          <w:tcPr>
            <w:tcW w:w="4322" w:type="dxa"/>
          </w:tcPr>
          <w:p w:rsidR="000F3E4F" w:rsidRDefault="000F3E4F" w:rsidP="00AB137D">
            <w:pPr>
              <w:jc w:val="both"/>
              <w:rPr>
                <w:rFonts w:asciiTheme="minorHAnsi" w:hAnsiTheme="minorHAnsi"/>
              </w:rPr>
            </w:pPr>
            <w:r w:rsidRPr="000F3E4F">
              <w:rPr>
                <w:rFonts w:asciiTheme="minorHAnsi" w:hAnsiTheme="minorHAnsi"/>
                <w:noProof/>
                <w:lang w:val="es-CL" w:eastAsia="es-CL"/>
              </w:rPr>
              <w:drawing>
                <wp:inline distT="0" distB="0" distL="0" distR="0">
                  <wp:extent cx="2533650" cy="2381250"/>
                  <wp:effectExtent l="19050" t="0" r="19050" b="0"/>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c>
          <w:tcPr>
            <w:tcW w:w="4956" w:type="dxa"/>
          </w:tcPr>
          <w:p w:rsidR="000F3E4F" w:rsidRDefault="000F3E4F" w:rsidP="00AB137D">
            <w:pPr>
              <w:jc w:val="both"/>
              <w:rPr>
                <w:rFonts w:asciiTheme="minorHAnsi" w:hAnsiTheme="minorHAnsi"/>
              </w:rPr>
            </w:pPr>
            <w:r w:rsidRPr="000F3E4F">
              <w:rPr>
                <w:rFonts w:asciiTheme="minorHAnsi" w:hAnsiTheme="minorHAnsi"/>
                <w:noProof/>
                <w:lang w:val="es-CL" w:eastAsia="es-CL"/>
              </w:rPr>
              <w:drawing>
                <wp:inline distT="0" distB="0" distL="0" distR="0">
                  <wp:extent cx="2981325" cy="2543175"/>
                  <wp:effectExtent l="19050" t="0" r="9525" b="0"/>
                  <wp:docPr id="1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bl>
    <w:p w:rsidR="00E56C5D" w:rsidRDefault="00E56C5D" w:rsidP="00E56C5D">
      <w:pPr>
        <w:pStyle w:val="Epgrafe"/>
        <w:jc w:val="center"/>
      </w:pPr>
      <w:bookmarkStart w:id="24" w:name="_Toc405237658"/>
      <w:r>
        <w:t xml:space="preserve">Figura </w:t>
      </w:r>
      <w:r w:rsidR="00E733CF">
        <w:fldChar w:fldCharType="begin"/>
      </w:r>
      <w:r w:rsidR="00E733CF">
        <w:instrText xml:space="preserve"> STYLEREF 1 \s </w:instrText>
      </w:r>
      <w:r w:rsidR="00E733CF">
        <w:fldChar w:fldCharType="separate"/>
      </w:r>
      <w:r>
        <w:rPr>
          <w:noProof/>
        </w:rPr>
        <w:t>4</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3</w:t>
      </w:r>
      <w:r w:rsidR="00E733CF">
        <w:rPr>
          <w:noProof/>
        </w:rPr>
        <w:fldChar w:fldCharType="end"/>
      </w:r>
      <w:r>
        <w:t>: Gráfica porcentual formato de recolección y tipo de administración de la recolección</w:t>
      </w:r>
      <w:bookmarkEnd w:id="24"/>
    </w:p>
    <w:p w:rsidR="000F3E4F" w:rsidRPr="00E56C5D" w:rsidRDefault="000F3E4F" w:rsidP="00AB137D">
      <w:pPr>
        <w:jc w:val="both"/>
        <w:rPr>
          <w:rFonts w:asciiTheme="minorHAnsi" w:hAnsiTheme="minorHAnsi"/>
          <w:lang w:val="es-CL"/>
        </w:rPr>
      </w:pPr>
    </w:p>
    <w:p w:rsidR="005128EC" w:rsidRDefault="005128EC" w:rsidP="00AB137D">
      <w:pPr>
        <w:jc w:val="both"/>
        <w:rPr>
          <w:rFonts w:asciiTheme="minorHAnsi" w:hAnsiTheme="minorHAnsi"/>
        </w:rPr>
      </w:pPr>
    </w:p>
    <w:p w:rsidR="000F3E4F" w:rsidRPr="00EF137A" w:rsidRDefault="000F3E4F" w:rsidP="000F3E4F">
      <w:pPr>
        <w:pStyle w:val="Ttulo2"/>
      </w:pPr>
      <w:bookmarkStart w:id="25" w:name="_Toc405237629"/>
      <w:r>
        <w:t>Planes de Gestión</w:t>
      </w:r>
      <w:bookmarkEnd w:id="25"/>
    </w:p>
    <w:p w:rsidR="00AB137D" w:rsidRDefault="00AB137D" w:rsidP="00AB137D">
      <w:pPr>
        <w:jc w:val="both"/>
        <w:rPr>
          <w:rFonts w:asciiTheme="minorHAnsi" w:hAnsiTheme="minorHAnsi"/>
        </w:rPr>
      </w:pPr>
    </w:p>
    <w:p w:rsidR="000F3E4F" w:rsidRDefault="000F3E4F" w:rsidP="00AB137D">
      <w:pPr>
        <w:jc w:val="both"/>
        <w:rPr>
          <w:rFonts w:asciiTheme="minorHAnsi" w:hAnsiTheme="minorHAnsi"/>
        </w:rPr>
      </w:pPr>
      <w:r>
        <w:rPr>
          <w:rFonts w:asciiTheme="minorHAnsi" w:hAnsiTheme="minorHAnsi"/>
        </w:rPr>
        <w:t>Del total de 209 Municipios caracterizados en detalle, se tiene que la gran mayoría NO cuenta con un plan de manejo de RSD, lo que aleja aún más la identificación de un estrategia o tendencia hacia la mejora y tecnificación del sistema de gestión.</w:t>
      </w:r>
    </w:p>
    <w:p w:rsidR="000F3E4F" w:rsidRDefault="000F3E4F" w:rsidP="00AB137D">
      <w:pPr>
        <w:jc w:val="both"/>
        <w:rPr>
          <w:rFonts w:asciiTheme="minorHAnsi" w:hAnsiTheme="minorHAnsi"/>
        </w:rPr>
      </w:pPr>
    </w:p>
    <w:p w:rsidR="00AB137D" w:rsidRDefault="000F3E4F" w:rsidP="00E56C5D">
      <w:pPr>
        <w:jc w:val="center"/>
        <w:rPr>
          <w:rFonts w:asciiTheme="minorHAnsi" w:hAnsiTheme="minorHAnsi"/>
        </w:rPr>
      </w:pPr>
      <w:r w:rsidRPr="000F3E4F">
        <w:rPr>
          <w:rFonts w:asciiTheme="minorHAnsi" w:hAnsiTheme="minorHAnsi"/>
          <w:noProof/>
          <w:lang w:val="es-CL" w:eastAsia="es-CL"/>
        </w:rPr>
        <w:drawing>
          <wp:inline distT="0" distB="0" distL="0" distR="0">
            <wp:extent cx="4572000" cy="2690813"/>
            <wp:effectExtent l="19050" t="0" r="19050" b="0"/>
            <wp:docPr id="1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56C5D" w:rsidRDefault="00E56C5D" w:rsidP="00E56C5D">
      <w:pPr>
        <w:pStyle w:val="Epgrafe"/>
        <w:jc w:val="center"/>
      </w:pPr>
      <w:bookmarkStart w:id="26" w:name="_Toc405237659"/>
      <w:r>
        <w:t xml:space="preserve">Figura </w:t>
      </w:r>
      <w:r w:rsidR="00E733CF">
        <w:fldChar w:fldCharType="begin"/>
      </w:r>
      <w:r w:rsidR="00E733CF">
        <w:instrText xml:space="preserve"> STYLEREF 1 \s </w:instrText>
      </w:r>
      <w:r w:rsidR="00E733CF">
        <w:fldChar w:fldCharType="separate"/>
      </w:r>
      <w:r>
        <w:rPr>
          <w:noProof/>
        </w:rPr>
        <w:t>4</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4</w:t>
      </w:r>
      <w:r w:rsidR="00E733CF">
        <w:rPr>
          <w:noProof/>
        </w:rPr>
        <w:fldChar w:fldCharType="end"/>
      </w:r>
      <w:r>
        <w:t>: Gráfica porcentual de comunas que cuenta con plan de manejo de RSD</w:t>
      </w:r>
      <w:bookmarkEnd w:id="26"/>
    </w:p>
    <w:p w:rsidR="000F3E4F" w:rsidRPr="00E56C5D" w:rsidRDefault="000F3E4F" w:rsidP="000F3E4F">
      <w:pPr>
        <w:rPr>
          <w:lang w:val="es-CL"/>
        </w:rPr>
      </w:pPr>
    </w:p>
    <w:p w:rsidR="000F3E4F" w:rsidRDefault="000F3E4F" w:rsidP="000F3E4F"/>
    <w:p w:rsidR="000F3E4F" w:rsidRPr="00EF137A" w:rsidRDefault="000F3E4F" w:rsidP="000F3E4F">
      <w:pPr>
        <w:pStyle w:val="Ttulo2"/>
      </w:pPr>
      <w:bookmarkStart w:id="27" w:name="_Toc405237630"/>
      <w:r>
        <w:t>Caracterización y distribución regional de Municipios</w:t>
      </w:r>
      <w:bookmarkEnd w:id="27"/>
    </w:p>
    <w:p w:rsidR="000F3E4F" w:rsidRPr="000F3E4F" w:rsidRDefault="000F3E4F" w:rsidP="000F3E4F">
      <w:pPr>
        <w:rPr>
          <w:rFonts w:asciiTheme="minorHAnsi" w:hAnsiTheme="minorHAnsi"/>
        </w:rPr>
      </w:pPr>
    </w:p>
    <w:p w:rsidR="00FD0C2F" w:rsidRDefault="000F3E4F" w:rsidP="00FD0C2F">
      <w:pPr>
        <w:jc w:val="both"/>
        <w:rPr>
          <w:rFonts w:asciiTheme="minorHAnsi" w:hAnsiTheme="minorHAnsi"/>
        </w:rPr>
      </w:pPr>
      <w:r w:rsidRPr="000F3E4F">
        <w:rPr>
          <w:rFonts w:asciiTheme="minorHAnsi" w:hAnsiTheme="minorHAnsi"/>
        </w:rPr>
        <w:t>En base al trabajo de análisis estadístico que se realiz</w:t>
      </w:r>
      <w:r>
        <w:rPr>
          <w:rFonts w:asciiTheme="minorHAnsi" w:hAnsiTheme="minorHAnsi"/>
        </w:rPr>
        <w:t>ó</w:t>
      </w:r>
      <w:r w:rsidRPr="000F3E4F">
        <w:rPr>
          <w:rFonts w:asciiTheme="minorHAnsi" w:hAnsiTheme="minorHAnsi"/>
        </w:rPr>
        <w:t xml:space="preserve"> para la </w:t>
      </w:r>
      <w:r>
        <w:rPr>
          <w:rFonts w:asciiTheme="minorHAnsi" w:hAnsiTheme="minorHAnsi"/>
        </w:rPr>
        <w:t>identificación de grupo comunes dentro del universo de las 3</w:t>
      </w:r>
      <w:r w:rsidR="00CC2554">
        <w:rPr>
          <w:rFonts w:asciiTheme="minorHAnsi" w:hAnsiTheme="minorHAnsi"/>
        </w:rPr>
        <w:t>4</w:t>
      </w:r>
      <w:r>
        <w:rPr>
          <w:rFonts w:asciiTheme="minorHAnsi" w:hAnsiTheme="minorHAnsi"/>
        </w:rPr>
        <w:t>5 municipalidades, se generaron 5 grupos que comparten gran cantidad de variables.(La metodología de análisis de describe en la actividad 1.11</w:t>
      </w:r>
      <w:r w:rsidR="0007094F">
        <w:rPr>
          <w:rFonts w:asciiTheme="minorHAnsi" w:hAnsiTheme="minorHAnsi"/>
        </w:rPr>
        <w:t xml:space="preserve"> y forma parte del Resultado 4, Mapa tecnológico</w:t>
      </w:r>
      <w:r>
        <w:rPr>
          <w:rFonts w:asciiTheme="minorHAnsi" w:hAnsiTheme="minorHAnsi"/>
        </w:rPr>
        <w:t>)</w:t>
      </w:r>
      <w:r w:rsidR="00FD0C2F">
        <w:rPr>
          <w:rFonts w:asciiTheme="minorHAnsi" w:hAnsiTheme="minorHAnsi"/>
        </w:rPr>
        <w:t>.</w:t>
      </w:r>
    </w:p>
    <w:p w:rsidR="000F3E4F" w:rsidRDefault="000F3E4F" w:rsidP="00FD0C2F">
      <w:pPr>
        <w:jc w:val="both"/>
        <w:rPr>
          <w:rFonts w:asciiTheme="minorHAnsi" w:hAnsiTheme="minorHAnsi"/>
        </w:rPr>
      </w:pPr>
      <w:r>
        <w:rPr>
          <w:rFonts w:asciiTheme="minorHAnsi" w:hAnsiTheme="minorHAnsi"/>
        </w:rPr>
        <w:t xml:space="preserve"> Estos grupos identifica</w:t>
      </w:r>
      <w:r w:rsidR="00FD0C2F">
        <w:rPr>
          <w:rFonts w:asciiTheme="minorHAnsi" w:hAnsiTheme="minorHAnsi"/>
        </w:rPr>
        <w:t>dos se denominaron en función de sus variables, como sigue:</w:t>
      </w:r>
    </w:p>
    <w:p w:rsidR="0007094F" w:rsidRDefault="0007094F" w:rsidP="00FD0C2F">
      <w:pPr>
        <w:jc w:val="both"/>
        <w:rPr>
          <w:rFonts w:asciiTheme="minorHAnsi" w:hAnsiTheme="minorHAnsi"/>
        </w:rPr>
      </w:pPr>
    </w:p>
    <w:p w:rsidR="0007094F" w:rsidRDefault="0007094F" w:rsidP="0007094F">
      <w:pPr>
        <w:pStyle w:val="Epgrafe"/>
        <w:jc w:val="center"/>
      </w:pPr>
      <w:bookmarkStart w:id="28" w:name="_Toc405237652"/>
      <w:r>
        <w:t xml:space="preserve">Tabla </w:t>
      </w:r>
      <w:r w:rsidR="00E733CF">
        <w:fldChar w:fldCharType="begin"/>
      </w:r>
      <w:r w:rsidR="00E733CF">
        <w:instrText xml:space="preserve"> STYLEREF 1 \s </w:instrText>
      </w:r>
      <w:r w:rsidR="00E733CF">
        <w:fldChar w:fldCharType="separate"/>
      </w:r>
      <w:r>
        <w:rPr>
          <w:noProof/>
        </w:rPr>
        <w:t>2.2</w:t>
      </w:r>
      <w:r w:rsidR="00E733CF">
        <w:rPr>
          <w:noProof/>
        </w:rPr>
        <w:fldChar w:fldCharType="end"/>
      </w:r>
      <w:r>
        <w:noBreakHyphen/>
      </w:r>
      <w:r w:rsidR="00E733CF">
        <w:fldChar w:fldCharType="begin"/>
      </w:r>
      <w:r w:rsidR="00E733CF">
        <w:instrText xml:space="preserve"> SEQ Tabla \* ARABIC \s 1 </w:instrText>
      </w:r>
      <w:r w:rsidR="00E733CF">
        <w:fldChar w:fldCharType="separate"/>
      </w:r>
      <w:r>
        <w:rPr>
          <w:noProof/>
        </w:rPr>
        <w:t>1</w:t>
      </w:r>
      <w:r w:rsidR="00E733CF">
        <w:rPr>
          <w:noProof/>
        </w:rPr>
        <w:fldChar w:fldCharType="end"/>
      </w:r>
      <w:r>
        <w:t>: Cantidad de Municipios por cluster identificado</w:t>
      </w:r>
      <w:bookmarkEnd w:id="28"/>
    </w:p>
    <w:tbl>
      <w:tblPr>
        <w:tblStyle w:val="Tablaconcuadrcula"/>
        <w:tblW w:w="0" w:type="auto"/>
        <w:jc w:val="center"/>
        <w:tblLook w:val="04A0" w:firstRow="1" w:lastRow="0" w:firstColumn="1" w:lastColumn="0" w:noHBand="0" w:noVBand="1"/>
      </w:tblPr>
      <w:tblGrid>
        <w:gridCol w:w="2881"/>
        <w:gridCol w:w="2881"/>
      </w:tblGrid>
      <w:tr w:rsidR="00FD0C2F" w:rsidRPr="00FD0C2F" w:rsidTr="00FD0C2F">
        <w:trPr>
          <w:jc w:val="center"/>
        </w:trPr>
        <w:tc>
          <w:tcPr>
            <w:tcW w:w="2881" w:type="dxa"/>
            <w:shd w:val="clear" w:color="auto" w:fill="000000" w:themeFill="text1"/>
          </w:tcPr>
          <w:p w:rsidR="00FD0C2F" w:rsidRPr="00FD0C2F" w:rsidRDefault="00FD0C2F" w:rsidP="00FD0C2F">
            <w:pPr>
              <w:jc w:val="center"/>
              <w:rPr>
                <w:rFonts w:asciiTheme="minorHAnsi" w:hAnsiTheme="minorHAnsi"/>
                <w:color w:val="FFFFFF" w:themeColor="background1"/>
              </w:rPr>
            </w:pPr>
            <w:r>
              <w:rPr>
                <w:rFonts w:asciiTheme="minorHAnsi" w:hAnsiTheme="minorHAnsi"/>
                <w:color w:val="FFFFFF" w:themeColor="background1"/>
              </w:rPr>
              <w:t>Categoría</w:t>
            </w:r>
          </w:p>
        </w:tc>
        <w:tc>
          <w:tcPr>
            <w:tcW w:w="2881" w:type="dxa"/>
            <w:shd w:val="clear" w:color="auto" w:fill="000000" w:themeFill="text1"/>
          </w:tcPr>
          <w:p w:rsidR="00FD0C2F" w:rsidRPr="00FD0C2F" w:rsidRDefault="00FD0C2F" w:rsidP="00FD0C2F">
            <w:pPr>
              <w:jc w:val="center"/>
              <w:rPr>
                <w:rFonts w:asciiTheme="minorHAnsi" w:hAnsiTheme="minorHAnsi"/>
                <w:color w:val="FFFFFF" w:themeColor="background1"/>
              </w:rPr>
            </w:pPr>
            <w:r w:rsidRPr="00FD0C2F">
              <w:rPr>
                <w:rFonts w:asciiTheme="minorHAnsi" w:hAnsiTheme="minorHAnsi"/>
                <w:color w:val="FFFFFF" w:themeColor="background1"/>
              </w:rPr>
              <w:t>Cantidad Municipios</w:t>
            </w:r>
          </w:p>
        </w:tc>
      </w:tr>
      <w:tr w:rsidR="00FD0C2F" w:rsidTr="00FD0C2F">
        <w:trPr>
          <w:jc w:val="center"/>
        </w:trPr>
        <w:tc>
          <w:tcPr>
            <w:tcW w:w="2881" w:type="dxa"/>
          </w:tcPr>
          <w:p w:rsidR="00FD0C2F" w:rsidRDefault="003D08A2" w:rsidP="00FD0C2F">
            <w:pPr>
              <w:jc w:val="both"/>
              <w:rPr>
                <w:rFonts w:asciiTheme="minorHAnsi" w:hAnsiTheme="minorHAnsi"/>
              </w:rPr>
            </w:pPr>
            <w:r>
              <w:rPr>
                <w:rFonts w:asciiTheme="minorHAnsi" w:hAnsiTheme="minorHAnsi"/>
              </w:rPr>
              <w:t>Semi rural</w:t>
            </w:r>
          </w:p>
        </w:tc>
        <w:tc>
          <w:tcPr>
            <w:tcW w:w="2881" w:type="dxa"/>
          </w:tcPr>
          <w:p w:rsidR="00FD0C2F" w:rsidRDefault="003D08A2" w:rsidP="00FD0C2F">
            <w:pPr>
              <w:jc w:val="both"/>
              <w:rPr>
                <w:rFonts w:asciiTheme="minorHAnsi" w:hAnsiTheme="minorHAnsi"/>
              </w:rPr>
            </w:pPr>
            <w:r>
              <w:rPr>
                <w:rFonts w:asciiTheme="minorHAnsi" w:hAnsiTheme="minorHAnsi"/>
              </w:rPr>
              <w:t>85</w:t>
            </w:r>
          </w:p>
        </w:tc>
      </w:tr>
      <w:tr w:rsidR="00FD0C2F" w:rsidTr="00FD0C2F">
        <w:trPr>
          <w:jc w:val="center"/>
        </w:trPr>
        <w:tc>
          <w:tcPr>
            <w:tcW w:w="2881" w:type="dxa"/>
          </w:tcPr>
          <w:p w:rsidR="00FD0C2F" w:rsidRDefault="00FD0C2F" w:rsidP="00FD0C2F">
            <w:pPr>
              <w:jc w:val="both"/>
              <w:rPr>
                <w:rFonts w:asciiTheme="minorHAnsi" w:hAnsiTheme="minorHAnsi"/>
              </w:rPr>
            </w:pPr>
            <w:r>
              <w:rPr>
                <w:rFonts w:asciiTheme="minorHAnsi" w:hAnsiTheme="minorHAnsi"/>
              </w:rPr>
              <w:t>De Alta Población</w:t>
            </w:r>
          </w:p>
        </w:tc>
        <w:tc>
          <w:tcPr>
            <w:tcW w:w="2881" w:type="dxa"/>
          </w:tcPr>
          <w:p w:rsidR="00FD0C2F" w:rsidRDefault="003D08A2" w:rsidP="00FD0C2F">
            <w:pPr>
              <w:jc w:val="both"/>
              <w:rPr>
                <w:rFonts w:asciiTheme="minorHAnsi" w:hAnsiTheme="minorHAnsi"/>
              </w:rPr>
            </w:pPr>
            <w:r>
              <w:rPr>
                <w:rFonts w:asciiTheme="minorHAnsi" w:hAnsiTheme="minorHAnsi"/>
              </w:rPr>
              <w:t>70</w:t>
            </w:r>
          </w:p>
        </w:tc>
      </w:tr>
      <w:tr w:rsidR="00FD0C2F" w:rsidTr="00FD0C2F">
        <w:trPr>
          <w:jc w:val="center"/>
        </w:trPr>
        <w:tc>
          <w:tcPr>
            <w:tcW w:w="2881" w:type="dxa"/>
          </w:tcPr>
          <w:p w:rsidR="00FD0C2F" w:rsidRDefault="00FD0C2F" w:rsidP="00FD0C2F">
            <w:pPr>
              <w:jc w:val="both"/>
              <w:rPr>
                <w:rFonts w:asciiTheme="minorHAnsi" w:hAnsiTheme="minorHAnsi"/>
              </w:rPr>
            </w:pPr>
            <w:r>
              <w:rPr>
                <w:rFonts w:asciiTheme="minorHAnsi" w:hAnsiTheme="minorHAnsi"/>
              </w:rPr>
              <w:t>Alta Ruralidad</w:t>
            </w:r>
          </w:p>
        </w:tc>
        <w:tc>
          <w:tcPr>
            <w:tcW w:w="2881" w:type="dxa"/>
          </w:tcPr>
          <w:p w:rsidR="00FD0C2F" w:rsidRDefault="003D08A2" w:rsidP="00FD0C2F">
            <w:pPr>
              <w:jc w:val="both"/>
              <w:rPr>
                <w:rFonts w:asciiTheme="minorHAnsi" w:hAnsiTheme="minorHAnsi"/>
              </w:rPr>
            </w:pPr>
            <w:r>
              <w:rPr>
                <w:rFonts w:asciiTheme="minorHAnsi" w:hAnsiTheme="minorHAnsi"/>
              </w:rPr>
              <w:t>101</w:t>
            </w:r>
          </w:p>
        </w:tc>
      </w:tr>
      <w:tr w:rsidR="00FD0C2F" w:rsidTr="00FD0C2F">
        <w:trPr>
          <w:jc w:val="center"/>
        </w:trPr>
        <w:tc>
          <w:tcPr>
            <w:tcW w:w="2881" w:type="dxa"/>
          </w:tcPr>
          <w:p w:rsidR="00FD0C2F" w:rsidRDefault="00FD0C2F" w:rsidP="00FD0C2F">
            <w:pPr>
              <w:jc w:val="both"/>
              <w:rPr>
                <w:rFonts w:asciiTheme="minorHAnsi" w:hAnsiTheme="minorHAnsi"/>
              </w:rPr>
            </w:pPr>
            <w:r>
              <w:rPr>
                <w:rFonts w:asciiTheme="minorHAnsi" w:hAnsiTheme="minorHAnsi"/>
              </w:rPr>
              <w:t>Alta Pobreza</w:t>
            </w:r>
          </w:p>
        </w:tc>
        <w:tc>
          <w:tcPr>
            <w:tcW w:w="2881" w:type="dxa"/>
          </w:tcPr>
          <w:p w:rsidR="00FD0C2F" w:rsidRDefault="003D08A2" w:rsidP="00FD0C2F">
            <w:pPr>
              <w:jc w:val="both"/>
              <w:rPr>
                <w:rFonts w:asciiTheme="minorHAnsi" w:hAnsiTheme="minorHAnsi"/>
              </w:rPr>
            </w:pPr>
            <w:r>
              <w:rPr>
                <w:rFonts w:asciiTheme="minorHAnsi" w:hAnsiTheme="minorHAnsi"/>
              </w:rPr>
              <w:t>73</w:t>
            </w:r>
          </w:p>
        </w:tc>
      </w:tr>
      <w:tr w:rsidR="00FD0C2F" w:rsidTr="00FD0C2F">
        <w:trPr>
          <w:jc w:val="center"/>
        </w:trPr>
        <w:tc>
          <w:tcPr>
            <w:tcW w:w="2881" w:type="dxa"/>
          </w:tcPr>
          <w:p w:rsidR="00FD0C2F" w:rsidRDefault="00FD0C2F" w:rsidP="00FD0C2F">
            <w:pPr>
              <w:jc w:val="both"/>
              <w:rPr>
                <w:rFonts w:asciiTheme="minorHAnsi" w:hAnsiTheme="minorHAnsi"/>
              </w:rPr>
            </w:pPr>
            <w:r>
              <w:rPr>
                <w:rFonts w:asciiTheme="minorHAnsi" w:hAnsiTheme="minorHAnsi"/>
              </w:rPr>
              <w:t>Turísticos</w:t>
            </w:r>
          </w:p>
        </w:tc>
        <w:tc>
          <w:tcPr>
            <w:tcW w:w="2881" w:type="dxa"/>
          </w:tcPr>
          <w:p w:rsidR="00FD0C2F" w:rsidRDefault="00FD0C2F" w:rsidP="00FD0C2F">
            <w:pPr>
              <w:jc w:val="both"/>
              <w:rPr>
                <w:rFonts w:asciiTheme="minorHAnsi" w:hAnsiTheme="minorHAnsi"/>
              </w:rPr>
            </w:pPr>
            <w:r>
              <w:rPr>
                <w:rFonts w:asciiTheme="minorHAnsi" w:hAnsiTheme="minorHAnsi"/>
              </w:rPr>
              <w:t>16</w:t>
            </w:r>
          </w:p>
        </w:tc>
      </w:tr>
    </w:tbl>
    <w:p w:rsidR="00FD0C2F" w:rsidRDefault="00FD0C2F" w:rsidP="00FD0C2F">
      <w:pPr>
        <w:jc w:val="both"/>
        <w:rPr>
          <w:rFonts w:asciiTheme="minorHAnsi" w:hAnsiTheme="minorHAnsi"/>
        </w:rPr>
      </w:pPr>
    </w:p>
    <w:p w:rsidR="00FD0C2F" w:rsidRDefault="00FD0C2F" w:rsidP="00FD0C2F">
      <w:pPr>
        <w:jc w:val="both"/>
        <w:rPr>
          <w:rFonts w:asciiTheme="minorHAnsi" w:hAnsiTheme="minorHAnsi"/>
        </w:rPr>
      </w:pPr>
      <w:r>
        <w:rPr>
          <w:rFonts w:asciiTheme="minorHAnsi" w:hAnsiTheme="minorHAnsi"/>
        </w:rPr>
        <w:t>La distribución de estos grupos, en cuanto a número de municipios por región, se observa en los siguiente gráficos:</w:t>
      </w:r>
    </w:p>
    <w:p w:rsidR="00FD0C2F" w:rsidRPr="000F3E4F" w:rsidRDefault="00FD0C2F" w:rsidP="00FD0C2F">
      <w:pPr>
        <w:jc w:val="both"/>
        <w:rPr>
          <w:rFonts w:asciiTheme="minorHAnsi" w:hAnsiTheme="minorHAnsi"/>
        </w:rPr>
      </w:pPr>
    </w:p>
    <w:p w:rsidR="000F3E4F" w:rsidRDefault="000F3E4F" w:rsidP="000F3E4F"/>
    <w:p w:rsidR="00FD0C2F" w:rsidRDefault="003D08A2" w:rsidP="00FD0C2F">
      <w:pPr>
        <w:jc w:val="center"/>
      </w:pPr>
      <w:r w:rsidRPr="003D08A2">
        <w:rPr>
          <w:noProof/>
          <w:lang w:val="es-CL" w:eastAsia="es-CL"/>
        </w:rPr>
        <w:lastRenderedPageBreak/>
        <w:drawing>
          <wp:inline distT="0" distB="0" distL="0" distR="0">
            <wp:extent cx="3558264" cy="2141599"/>
            <wp:effectExtent l="19050" t="0" r="4086"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3560539" cy="2142968"/>
                    </a:xfrm>
                    <a:prstGeom prst="rect">
                      <a:avLst/>
                    </a:prstGeom>
                    <a:noFill/>
                    <a:ln w="9525">
                      <a:noFill/>
                      <a:miter lim="800000"/>
                      <a:headEnd/>
                      <a:tailEnd/>
                    </a:ln>
                  </pic:spPr>
                </pic:pic>
              </a:graphicData>
            </a:graphic>
          </wp:inline>
        </w:drawing>
      </w:r>
    </w:p>
    <w:p w:rsidR="00E56C5D" w:rsidRDefault="00E56C5D" w:rsidP="00E56C5D">
      <w:pPr>
        <w:pStyle w:val="Epgrafe"/>
        <w:jc w:val="center"/>
      </w:pPr>
      <w:bookmarkStart w:id="29" w:name="_Toc405237660"/>
      <w:r>
        <w:t xml:space="preserve">Figura </w:t>
      </w:r>
      <w:r w:rsidR="00E733CF">
        <w:fldChar w:fldCharType="begin"/>
      </w:r>
      <w:r w:rsidR="00E733CF">
        <w:instrText xml:space="preserve"> STYLEREF 1 \s </w:instrText>
      </w:r>
      <w:r w:rsidR="00E733CF">
        <w:fldChar w:fldCharType="separate"/>
      </w:r>
      <w:r>
        <w:rPr>
          <w:noProof/>
        </w:rPr>
        <w:t>4</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5</w:t>
      </w:r>
      <w:r w:rsidR="00E733CF">
        <w:rPr>
          <w:noProof/>
        </w:rPr>
        <w:fldChar w:fldCharType="end"/>
      </w:r>
      <w:r>
        <w:t>: Gráfica porcentual de comunas según tipificación</w:t>
      </w:r>
      <w:bookmarkEnd w:id="29"/>
    </w:p>
    <w:p w:rsidR="00E56C5D" w:rsidRPr="00E56C5D" w:rsidRDefault="00E56C5D" w:rsidP="00FD0C2F">
      <w:pPr>
        <w:jc w:val="center"/>
        <w:rPr>
          <w:lang w:val="es-CL"/>
        </w:rPr>
      </w:pPr>
    </w:p>
    <w:p w:rsidR="00FD0C2F" w:rsidRDefault="00FD0C2F" w:rsidP="000F3E4F"/>
    <w:p w:rsidR="00FD0C2F" w:rsidRDefault="003D08A2" w:rsidP="000F3E4F">
      <w:r w:rsidRPr="003D08A2">
        <w:rPr>
          <w:noProof/>
          <w:lang w:val="es-CL" w:eastAsia="es-CL"/>
        </w:rPr>
        <w:drawing>
          <wp:inline distT="0" distB="0" distL="0" distR="0">
            <wp:extent cx="5838825" cy="3378705"/>
            <wp:effectExtent l="19050" t="0" r="9525"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839941" cy="3379351"/>
                    </a:xfrm>
                    <a:prstGeom prst="rect">
                      <a:avLst/>
                    </a:prstGeom>
                    <a:noFill/>
                    <a:ln w="9525">
                      <a:noFill/>
                      <a:miter lim="800000"/>
                      <a:headEnd/>
                      <a:tailEnd/>
                    </a:ln>
                  </pic:spPr>
                </pic:pic>
              </a:graphicData>
            </a:graphic>
          </wp:inline>
        </w:drawing>
      </w:r>
    </w:p>
    <w:p w:rsidR="00E56C5D" w:rsidRDefault="00E56C5D" w:rsidP="00E56C5D">
      <w:pPr>
        <w:pStyle w:val="Epgrafe"/>
        <w:jc w:val="center"/>
      </w:pPr>
      <w:bookmarkStart w:id="30" w:name="_Toc405237661"/>
      <w:r>
        <w:t xml:space="preserve">Figura </w:t>
      </w:r>
      <w:r w:rsidR="00E733CF">
        <w:fldChar w:fldCharType="begin"/>
      </w:r>
      <w:r w:rsidR="00E733CF">
        <w:instrText xml:space="preserve"> STYLEREF 1 \s </w:instrText>
      </w:r>
      <w:r w:rsidR="00E733CF">
        <w:fldChar w:fldCharType="separate"/>
      </w:r>
      <w:r>
        <w:rPr>
          <w:noProof/>
        </w:rPr>
        <w:t>4</w:t>
      </w:r>
      <w:r w:rsidR="00E733CF">
        <w:rPr>
          <w:noProof/>
        </w:rPr>
        <w:fldChar w:fldCharType="end"/>
      </w:r>
      <w:r>
        <w:noBreakHyphen/>
      </w:r>
      <w:r w:rsidR="00E733CF">
        <w:fldChar w:fldCharType="begin"/>
      </w:r>
      <w:r w:rsidR="00E733CF">
        <w:instrText xml:space="preserve"> SEQ Figura \* ARABIC \s 1 </w:instrText>
      </w:r>
      <w:r w:rsidR="00E733CF">
        <w:fldChar w:fldCharType="separate"/>
      </w:r>
      <w:r>
        <w:rPr>
          <w:noProof/>
        </w:rPr>
        <w:t>5</w:t>
      </w:r>
      <w:r w:rsidR="00E733CF">
        <w:rPr>
          <w:noProof/>
        </w:rPr>
        <w:fldChar w:fldCharType="end"/>
      </w:r>
      <w:r>
        <w:t>: Cantidad de municipios por región según clase</w:t>
      </w:r>
      <w:bookmarkEnd w:id="30"/>
    </w:p>
    <w:p w:rsidR="00FD0C2F" w:rsidRPr="00E56C5D" w:rsidRDefault="00FD0C2F" w:rsidP="000F3E4F">
      <w:pPr>
        <w:rPr>
          <w:lang w:val="es-CL"/>
        </w:rPr>
      </w:pPr>
    </w:p>
    <w:p w:rsidR="00FD0C2F" w:rsidRDefault="00FD0C2F" w:rsidP="00255785">
      <w:pPr>
        <w:jc w:val="both"/>
      </w:pPr>
      <w:r>
        <w:t>Se observa que las comunas de alta población corresponden a las capitales regionales, así como las de la Región Metropolitana.</w:t>
      </w:r>
    </w:p>
    <w:p w:rsidR="00255785" w:rsidRDefault="00255785" w:rsidP="00255785">
      <w:pPr>
        <w:jc w:val="both"/>
      </w:pPr>
    </w:p>
    <w:p w:rsidR="00FD0C2F" w:rsidRDefault="00FD0C2F" w:rsidP="00255785">
      <w:pPr>
        <w:jc w:val="both"/>
      </w:pPr>
      <w:r>
        <w:t>En cuanto a las comunas agrupadas por compartir perfil de pobreza se concentran en</w:t>
      </w:r>
      <w:r w:rsidR="00255785">
        <w:t xml:space="preserve"> las regiones de Maule, BioBio y Araucanía.</w:t>
      </w:r>
    </w:p>
    <w:p w:rsidR="003D08A2" w:rsidRDefault="003D08A2" w:rsidP="00255785">
      <w:pPr>
        <w:jc w:val="both"/>
      </w:pPr>
    </w:p>
    <w:p w:rsidR="003D08A2" w:rsidRDefault="003D08A2" w:rsidP="00255785">
      <w:pPr>
        <w:jc w:val="both"/>
      </w:pPr>
      <w:r>
        <w:t>El indicador de ruralidad domina en las regiones de O`Higgins hacia el sur.</w:t>
      </w:r>
    </w:p>
    <w:p w:rsidR="00255785" w:rsidRDefault="00255785" w:rsidP="00255785">
      <w:pPr>
        <w:jc w:val="both"/>
      </w:pPr>
    </w:p>
    <w:p w:rsidR="00255785" w:rsidRDefault="00255785">
      <w:pPr>
        <w:spacing w:after="200" w:line="276" w:lineRule="auto"/>
      </w:pPr>
      <w:r>
        <w:br w:type="page"/>
      </w:r>
    </w:p>
    <w:p w:rsidR="00FD0C2F" w:rsidRDefault="00FD0C2F" w:rsidP="000F3E4F"/>
    <w:p w:rsidR="00AB137D" w:rsidRDefault="00D1441E" w:rsidP="000F3E4F">
      <w:pPr>
        <w:pStyle w:val="Ttulo1"/>
        <w:jc w:val="both"/>
      </w:pPr>
      <w:bookmarkStart w:id="31" w:name="_Toc405237631"/>
      <w:r>
        <w:t>Conclusiones</w:t>
      </w:r>
      <w:bookmarkEnd w:id="31"/>
    </w:p>
    <w:p w:rsidR="000F3E4F" w:rsidRPr="000F3E4F" w:rsidRDefault="000F3E4F" w:rsidP="000F3E4F"/>
    <w:p w:rsidR="00AB137D" w:rsidRDefault="00255785" w:rsidP="00AB137D">
      <w:pPr>
        <w:jc w:val="both"/>
        <w:rPr>
          <w:rFonts w:asciiTheme="minorHAnsi" w:hAnsiTheme="minorHAnsi"/>
        </w:rPr>
      </w:pPr>
      <w:r>
        <w:rPr>
          <w:rFonts w:asciiTheme="minorHAnsi" w:hAnsiTheme="minorHAnsi"/>
        </w:rPr>
        <w:t xml:space="preserve">Como tecnología aplicada se identifica a la fecha </w:t>
      </w:r>
      <w:r w:rsidR="0002405F">
        <w:rPr>
          <w:rFonts w:asciiTheme="minorHAnsi" w:hAnsiTheme="minorHAnsi"/>
        </w:rPr>
        <w:t>principalmente</w:t>
      </w:r>
      <w:r>
        <w:rPr>
          <w:rFonts w:asciiTheme="minorHAnsi" w:hAnsiTheme="minorHAnsi"/>
        </w:rPr>
        <w:t xml:space="preserve"> la recolección puerta a puerta, transporte en camiones recolectores, y disposición final en vertedero y/o relleno sanitario.</w:t>
      </w:r>
    </w:p>
    <w:p w:rsidR="00255785" w:rsidRDefault="00255785" w:rsidP="00AB137D">
      <w:pPr>
        <w:jc w:val="both"/>
        <w:rPr>
          <w:rFonts w:asciiTheme="minorHAnsi" w:hAnsiTheme="minorHAnsi"/>
        </w:rPr>
      </w:pPr>
    </w:p>
    <w:p w:rsidR="00255785" w:rsidRDefault="00255785" w:rsidP="00AB137D">
      <w:pPr>
        <w:jc w:val="both"/>
        <w:rPr>
          <w:rFonts w:asciiTheme="minorHAnsi" w:hAnsiTheme="minorHAnsi"/>
        </w:rPr>
      </w:pPr>
      <w:r>
        <w:rPr>
          <w:rFonts w:asciiTheme="minorHAnsi" w:hAnsiTheme="minorHAnsi"/>
        </w:rPr>
        <w:t>Además se cuantifica baja cantidad de planes de gestión, que podrían incentivar o encauzar una camino de mejoras tecnológicas.</w:t>
      </w:r>
    </w:p>
    <w:p w:rsidR="00255785" w:rsidRDefault="00255785" w:rsidP="00AB137D">
      <w:pPr>
        <w:jc w:val="both"/>
        <w:rPr>
          <w:rFonts w:asciiTheme="minorHAnsi" w:hAnsiTheme="minorHAnsi"/>
        </w:rPr>
      </w:pPr>
    </w:p>
    <w:p w:rsidR="00255785" w:rsidRPr="00EF137A" w:rsidRDefault="00255785" w:rsidP="00AB137D">
      <w:pPr>
        <w:jc w:val="both"/>
        <w:rPr>
          <w:rFonts w:asciiTheme="minorHAnsi" w:hAnsiTheme="minorHAnsi"/>
        </w:rPr>
      </w:pPr>
      <w:r>
        <w:rPr>
          <w:rFonts w:asciiTheme="minorHAnsi" w:hAnsiTheme="minorHAnsi"/>
        </w:rPr>
        <w:t>En conclusión, existe un potencial de tecnificar y optimizar la gestión actual, con el objetivo de reducir costos, o al menos prevenir sus aumentos, y de impactos ambientales</w:t>
      </w:r>
      <w:r w:rsidR="00B02704">
        <w:rPr>
          <w:rFonts w:asciiTheme="minorHAnsi" w:hAnsiTheme="minorHAnsi"/>
        </w:rPr>
        <w:t>.</w:t>
      </w:r>
    </w:p>
    <w:p w:rsidR="00AB137D" w:rsidRDefault="00AB137D" w:rsidP="00AB137D">
      <w:pPr>
        <w:jc w:val="both"/>
        <w:rPr>
          <w:rFonts w:asciiTheme="minorHAnsi" w:hAnsiTheme="minorHAnsi"/>
        </w:rPr>
      </w:pPr>
    </w:p>
    <w:p w:rsidR="00132AA3" w:rsidRDefault="00132AA3" w:rsidP="00132AA3">
      <w:pPr>
        <w:pStyle w:val="Ttulo1"/>
        <w:jc w:val="both"/>
      </w:pPr>
      <w:bookmarkStart w:id="32" w:name="_Toc405237632"/>
      <w:r>
        <w:t>Otras observaciones</w:t>
      </w:r>
      <w:bookmarkEnd w:id="32"/>
    </w:p>
    <w:p w:rsidR="00255785" w:rsidRDefault="00255785" w:rsidP="00AB137D">
      <w:pPr>
        <w:jc w:val="both"/>
        <w:rPr>
          <w:rFonts w:asciiTheme="minorHAnsi" w:hAnsiTheme="minorHAnsi"/>
        </w:rPr>
      </w:pPr>
    </w:p>
    <w:p w:rsidR="00255785" w:rsidRDefault="003D08A2" w:rsidP="00AB137D">
      <w:pPr>
        <w:jc w:val="both"/>
        <w:rPr>
          <w:rFonts w:asciiTheme="minorHAnsi" w:hAnsiTheme="minorHAnsi"/>
        </w:rPr>
      </w:pPr>
      <w:r>
        <w:rPr>
          <w:rFonts w:asciiTheme="minorHAnsi" w:hAnsiTheme="minorHAnsi"/>
        </w:rPr>
        <w:t xml:space="preserve">Durante </w:t>
      </w:r>
      <w:r w:rsidR="00A94D78">
        <w:rPr>
          <w:rFonts w:asciiTheme="minorHAnsi" w:hAnsiTheme="minorHAnsi"/>
        </w:rPr>
        <w:t>el</w:t>
      </w:r>
      <w:r>
        <w:rPr>
          <w:rFonts w:asciiTheme="minorHAnsi" w:hAnsiTheme="minorHAnsi"/>
        </w:rPr>
        <w:t xml:space="preserve"> procesos de recopilación de datos,</w:t>
      </w:r>
      <w:r w:rsidR="00A94D78">
        <w:rPr>
          <w:rFonts w:asciiTheme="minorHAnsi" w:hAnsiTheme="minorHAnsi"/>
        </w:rPr>
        <w:t xml:space="preserve"> así como en la actividad de entrevista a actores, se ha identificado ausencia de datos de gestión, dispersión de la poca información disponible, desconocimiento en algunos ámbitos por parte de los diferentes interlocutores, y cierto tipo de  temor o desconfianza al momento de responder o entregar información.</w:t>
      </w:r>
    </w:p>
    <w:p w:rsidR="00A94D78" w:rsidRDefault="00A94D78" w:rsidP="00AB137D">
      <w:pPr>
        <w:jc w:val="both"/>
        <w:rPr>
          <w:rFonts w:asciiTheme="minorHAnsi" w:hAnsiTheme="minorHAnsi"/>
        </w:rPr>
      </w:pPr>
    </w:p>
    <w:p w:rsidR="00A94D78" w:rsidRDefault="00A94D78" w:rsidP="00AB137D">
      <w:pPr>
        <w:jc w:val="both"/>
        <w:rPr>
          <w:rFonts w:asciiTheme="minorHAnsi" w:hAnsiTheme="minorHAnsi"/>
        </w:rPr>
      </w:pPr>
      <w:r>
        <w:rPr>
          <w:rFonts w:asciiTheme="minorHAnsi" w:hAnsiTheme="minorHAnsi"/>
        </w:rPr>
        <w:t>Por otra parte, la disparidad en cuanto a la forma y contenidos de la información recopilada, llevó a la reflexión e identificación que independiente de sus características locales, un aspecto importante en la modalidad de gestión de RSD tiene relación con las MADUREZ de CAPACIDADES.</w:t>
      </w:r>
    </w:p>
    <w:p w:rsidR="00A94D78" w:rsidRDefault="00A94D78" w:rsidP="00AB137D">
      <w:pPr>
        <w:jc w:val="both"/>
        <w:rPr>
          <w:rFonts w:asciiTheme="minorHAnsi" w:hAnsiTheme="minorHAnsi"/>
        </w:rPr>
      </w:pPr>
    </w:p>
    <w:p w:rsidR="0007094F" w:rsidRDefault="00A94D78" w:rsidP="00AB137D">
      <w:pPr>
        <w:jc w:val="both"/>
        <w:rPr>
          <w:rFonts w:asciiTheme="minorHAnsi" w:hAnsiTheme="minorHAnsi"/>
        </w:rPr>
      </w:pPr>
      <w:r>
        <w:rPr>
          <w:rFonts w:asciiTheme="minorHAnsi" w:hAnsiTheme="minorHAnsi"/>
        </w:rPr>
        <w:t xml:space="preserve">De lo anterior, es que se propone el desarrollo de un sistema on line, para que cada municipio pueda </w:t>
      </w:r>
      <w:r w:rsidR="00D25D1F">
        <w:rPr>
          <w:rFonts w:asciiTheme="minorHAnsi" w:hAnsiTheme="minorHAnsi"/>
        </w:rPr>
        <w:t>identificar y cuantificar su grado de madurez de diferentes capacidades identificadas. El detalle de esta propuesta se aborda en otro informe.</w:t>
      </w:r>
      <w:r>
        <w:rPr>
          <w:rFonts w:asciiTheme="minorHAnsi" w:hAnsiTheme="minorHAnsi"/>
        </w:rPr>
        <w:t xml:space="preserve"> </w:t>
      </w:r>
    </w:p>
    <w:p w:rsidR="0007094F" w:rsidRDefault="0007094F">
      <w:pPr>
        <w:spacing w:after="200" w:line="276" w:lineRule="auto"/>
        <w:rPr>
          <w:rFonts w:asciiTheme="minorHAnsi" w:hAnsiTheme="minorHAnsi"/>
        </w:rPr>
      </w:pPr>
      <w:r>
        <w:rPr>
          <w:rFonts w:asciiTheme="minorHAnsi" w:hAnsiTheme="minorHAnsi"/>
        </w:rPr>
        <w:br w:type="page"/>
      </w:r>
    </w:p>
    <w:p w:rsidR="0007094F" w:rsidRDefault="0007094F" w:rsidP="0007094F">
      <w:pPr>
        <w:pStyle w:val="Ttulo1"/>
        <w:jc w:val="both"/>
      </w:pPr>
      <w:bookmarkStart w:id="33" w:name="_Toc405237633"/>
      <w:r>
        <w:lastRenderedPageBreak/>
        <w:t>Anexo: Descripción de tecnologías</w:t>
      </w:r>
      <w:bookmarkEnd w:id="33"/>
    </w:p>
    <w:p w:rsidR="00D02FD1" w:rsidRDefault="00D02FD1" w:rsidP="00D02FD1">
      <w:pPr>
        <w:pStyle w:val="ANEXOS"/>
        <w:numPr>
          <w:ilvl w:val="0"/>
          <w:numId w:val="0"/>
        </w:numPr>
        <w:ind w:left="426"/>
        <w:jc w:val="left"/>
      </w:pPr>
      <w:bookmarkStart w:id="34" w:name="_Toc405010390"/>
      <w:bookmarkStart w:id="35" w:name="_Toc405237634"/>
      <w:r>
        <w:t xml:space="preserve">1. </w:t>
      </w:r>
      <w:r w:rsidRPr="0040649D">
        <w:t xml:space="preserve">Minimización </w:t>
      </w:r>
      <w:r w:rsidRPr="00872A56">
        <w:t>de los residuos</w:t>
      </w:r>
      <w:bookmarkEnd w:id="34"/>
      <w:bookmarkEnd w:id="35"/>
    </w:p>
    <w:p w:rsidR="00D02FD1" w:rsidRDefault="00D02FD1" w:rsidP="00D02FD1">
      <w:pPr>
        <w:autoSpaceDE w:val="0"/>
        <w:autoSpaceDN w:val="0"/>
        <w:adjustRightInd w:val="0"/>
        <w:spacing w:after="120"/>
        <w:rPr>
          <w:rFonts w:eastAsia="Cambria"/>
          <w:u w:val="single"/>
        </w:rPr>
      </w:pPr>
    </w:p>
    <w:p w:rsidR="00D02FD1" w:rsidRPr="00D02FD1" w:rsidRDefault="00D02FD1" w:rsidP="00D02FD1">
      <w:pPr>
        <w:autoSpaceDE w:val="0"/>
        <w:autoSpaceDN w:val="0"/>
        <w:adjustRightInd w:val="0"/>
        <w:spacing w:after="120"/>
        <w:rPr>
          <w:rFonts w:asciiTheme="minorHAnsi" w:eastAsia="Cambria" w:hAnsiTheme="minorHAnsi"/>
          <w:u w:val="single"/>
        </w:rPr>
      </w:pPr>
      <w:r w:rsidRPr="00D02FD1">
        <w:rPr>
          <w:rFonts w:asciiTheme="minorHAnsi" w:eastAsia="Cambria" w:hAnsiTheme="minorHAnsi"/>
          <w:u w:val="single"/>
        </w:rPr>
        <w:t>Reducción (en el origen):</w:t>
      </w:r>
    </w:p>
    <w:p w:rsidR="00D02FD1" w:rsidRPr="00D02FD1" w:rsidRDefault="00D02FD1" w:rsidP="00D02FD1">
      <w:pPr>
        <w:autoSpaceDE w:val="0"/>
        <w:autoSpaceDN w:val="0"/>
        <w:adjustRightInd w:val="0"/>
        <w:rPr>
          <w:rFonts w:asciiTheme="minorHAnsi" w:eastAsiaTheme="minorHAnsi" w:hAnsiTheme="minorHAnsi"/>
          <w:b/>
          <w:bCs/>
          <w:sz w:val="23"/>
          <w:szCs w:val="23"/>
        </w:rPr>
      </w:pPr>
      <w:r w:rsidRPr="00D02FD1">
        <w:rPr>
          <w:rFonts w:asciiTheme="minorHAnsi" w:eastAsia="Cambria" w:hAnsiTheme="minorHAnsi"/>
        </w:rPr>
        <w:t>Como ejemplo se puede mencionar el compostaje en el hogar, el cuál utiliza una apropiada reducción en origen, su potencial de reducción del orden de un 40% en masa de RSD</w:t>
      </w:r>
      <w:r w:rsidRPr="00D02FD1">
        <w:rPr>
          <w:rStyle w:val="Refdenotaalpie"/>
          <w:rFonts w:asciiTheme="minorHAnsi" w:eastAsia="Cambria" w:hAnsiTheme="minorHAnsi"/>
        </w:rPr>
        <w:footnoteReference w:id="1"/>
      </w:r>
      <w:r w:rsidRPr="00D02FD1">
        <w:rPr>
          <w:rFonts w:asciiTheme="minorHAnsi" w:eastAsia="Cambria" w:hAnsiTheme="minorHAnsi"/>
        </w:rPr>
        <w:t>, ya que permite economizar no solamente en disposición final, sino también los costos elevados de recolección y transporte, lo que se percibe como más aplicable en sectores rurales.</w:t>
      </w:r>
    </w:p>
    <w:p w:rsidR="00D02FD1" w:rsidRPr="00D02FD1" w:rsidRDefault="00D02FD1" w:rsidP="00D02FD1">
      <w:pPr>
        <w:pStyle w:val="Textoindependiente"/>
        <w:tabs>
          <w:tab w:val="left" w:pos="709"/>
        </w:tabs>
        <w:ind w:firstLine="0"/>
        <w:rPr>
          <w:rFonts w:asciiTheme="minorHAnsi" w:eastAsia="Cambria" w:hAnsiTheme="minorHAnsi"/>
          <w:u w:val="single"/>
        </w:rPr>
      </w:pPr>
    </w:p>
    <w:p w:rsidR="00D02FD1" w:rsidRPr="00D02FD1" w:rsidRDefault="00D02FD1" w:rsidP="00D02FD1">
      <w:pPr>
        <w:pStyle w:val="Textoindependiente"/>
        <w:tabs>
          <w:tab w:val="left" w:pos="709"/>
        </w:tabs>
        <w:ind w:firstLine="0"/>
        <w:rPr>
          <w:rFonts w:asciiTheme="minorHAnsi" w:eastAsia="Cambria" w:hAnsiTheme="minorHAnsi"/>
          <w:u w:val="single"/>
        </w:rPr>
      </w:pPr>
      <w:r w:rsidRPr="00D02FD1">
        <w:rPr>
          <w:rFonts w:asciiTheme="minorHAnsi" w:eastAsia="Cambria" w:hAnsiTheme="minorHAnsi"/>
          <w:u w:val="single"/>
        </w:rPr>
        <w:t>Reciclaje:</w:t>
      </w:r>
    </w:p>
    <w:p w:rsidR="00D02FD1" w:rsidRDefault="00D02FD1" w:rsidP="00D02FD1">
      <w:pPr>
        <w:pStyle w:val="Textoindependiente"/>
        <w:tabs>
          <w:tab w:val="left" w:pos="709"/>
        </w:tabs>
        <w:spacing w:after="0" w:line="240" w:lineRule="auto"/>
        <w:ind w:firstLine="0"/>
        <w:rPr>
          <w:rFonts w:asciiTheme="minorHAnsi" w:eastAsia="Cambria" w:hAnsiTheme="minorHAnsi"/>
        </w:rPr>
      </w:pPr>
      <w:r w:rsidRPr="00D02FD1">
        <w:rPr>
          <w:rFonts w:asciiTheme="minorHAnsi" w:eastAsia="Cambria" w:hAnsiTheme="minorHAnsi"/>
        </w:rPr>
        <w:t xml:space="preserve">El reciclaje implica desechar un objeto después de su utilización, recolectar las diferentes fracciones en forma segregada y devolverla al proceso productivo (donde se le devuelven sus características de materia prima o se obtienen nuevos productos). </w:t>
      </w:r>
    </w:p>
    <w:p w:rsidR="00D02FD1" w:rsidRPr="00D02FD1" w:rsidRDefault="00D02FD1" w:rsidP="00D02FD1">
      <w:pPr>
        <w:pStyle w:val="Textoindependiente"/>
        <w:tabs>
          <w:tab w:val="left" w:pos="709"/>
        </w:tabs>
        <w:spacing w:after="0" w:line="240" w:lineRule="auto"/>
        <w:ind w:firstLine="0"/>
        <w:rPr>
          <w:rFonts w:asciiTheme="minorHAnsi" w:eastAsia="Cambria" w:hAnsiTheme="minorHAnsi"/>
        </w:rPr>
      </w:pPr>
    </w:p>
    <w:p w:rsidR="00D02FD1" w:rsidRPr="00D02FD1" w:rsidRDefault="00D02FD1" w:rsidP="00D02FD1">
      <w:pPr>
        <w:jc w:val="both"/>
        <w:rPr>
          <w:rFonts w:asciiTheme="minorHAnsi" w:eastAsia="Cambria" w:hAnsiTheme="minorHAnsi"/>
        </w:rPr>
      </w:pPr>
      <w:r w:rsidRPr="00D02FD1">
        <w:rPr>
          <w:rFonts w:asciiTheme="minorHAnsi" w:eastAsia="Cambria" w:hAnsiTheme="minorHAnsi"/>
        </w:rPr>
        <w:t>La reducción de las cantidades de residuos es claramente positiva para reducir  el financiamiento requerido del sistema municipal de aseo (disminuyendo proporcionalmente los gastos e inversiones en sistemas de recolección, tratamiento y disposición final). Por otra parte, el reciclaje requiere de estudios adicionales y en la práctica necesita logística adicional para recolección diferenciada, acopio y/o clasificación; adicionalmente es necesario contar con la factibilidad de comercialización de los productos.</w:t>
      </w:r>
    </w:p>
    <w:p w:rsidR="00D02FD1" w:rsidRDefault="00D02FD1" w:rsidP="00D02FD1">
      <w:pPr>
        <w:rPr>
          <w:rFonts w:eastAsia="Cambria"/>
        </w:rPr>
      </w:pPr>
    </w:p>
    <w:p w:rsidR="00D02FD1" w:rsidRPr="00D02FD1" w:rsidRDefault="00D02FD1" w:rsidP="00D02FD1">
      <w:pPr>
        <w:rPr>
          <w:rFonts w:asciiTheme="minorHAnsi" w:eastAsia="Cambria" w:hAnsiTheme="minorHAnsi"/>
        </w:rPr>
      </w:pPr>
      <w:r w:rsidRPr="00D02FD1">
        <w:rPr>
          <w:rFonts w:asciiTheme="minorHAnsi" w:eastAsia="Cambria" w:hAnsiTheme="minorHAnsi"/>
        </w:rPr>
        <w:t>En la situación actual (en la cual el costo de disposición representa del orden de un 20 a 30% de los costos totales de gestión de los residuos en la mayoría de las comunas) las medidas de reducción en el origen representan no solamente beneficios ambientales y sociales de largo plazo, sino también un potencial de ahorro significativo en el mediano plazo, por ejemplo, el compostaje en el hogar.</w:t>
      </w:r>
    </w:p>
    <w:p w:rsidR="00D02FD1" w:rsidRDefault="00D02FD1" w:rsidP="00D02FD1">
      <w:pPr>
        <w:rPr>
          <w:rFonts w:eastAsia="Cambria"/>
        </w:rPr>
      </w:pPr>
    </w:p>
    <w:p w:rsidR="00D02FD1" w:rsidRDefault="00D02FD1" w:rsidP="005F34F3">
      <w:pPr>
        <w:pStyle w:val="ANEXOS"/>
        <w:numPr>
          <w:ilvl w:val="0"/>
          <w:numId w:val="18"/>
        </w:numPr>
        <w:jc w:val="left"/>
      </w:pPr>
      <w:bookmarkStart w:id="36" w:name="_Toc226953237"/>
      <w:bookmarkStart w:id="37" w:name="_Toc405010391"/>
      <w:bookmarkStart w:id="38" w:name="_Toc405237635"/>
      <w:r w:rsidRPr="0040649D">
        <w:t xml:space="preserve">Compostaje en el </w:t>
      </w:r>
      <w:r>
        <w:t>h</w:t>
      </w:r>
      <w:r w:rsidRPr="0040649D">
        <w:t>ogar</w:t>
      </w:r>
      <w:bookmarkEnd w:id="36"/>
      <w:r>
        <w:t>.</w:t>
      </w:r>
      <w:bookmarkEnd w:id="37"/>
      <w:bookmarkEnd w:id="38"/>
    </w:p>
    <w:p w:rsidR="00D02FD1" w:rsidRPr="00D02FD1" w:rsidRDefault="00D02FD1" w:rsidP="00D02FD1">
      <w:pPr>
        <w:jc w:val="both"/>
        <w:rPr>
          <w:rFonts w:asciiTheme="minorHAnsi" w:eastAsia="Cambria" w:hAnsiTheme="minorHAnsi"/>
        </w:rPr>
      </w:pPr>
      <w:r w:rsidRPr="00D02FD1">
        <w:rPr>
          <w:rFonts w:asciiTheme="minorHAnsi" w:eastAsia="Cambria" w:hAnsiTheme="minorHAnsi"/>
        </w:rPr>
        <w:t>El compostaje corresponde a un método simple para el procesamiento biológico de los residuos orgánicos. Es un proceso de tratamiento basado en la descomposición aeróbica de la materia orgánica presente en los residuos sólidos domiciliarios. Básicamente, consiste en depositar los residuos en cúmulos o pilas, removiéndolos en forma periódica y manteniendo un rango de humedad constante durante unos 3 a 4 meses, dependiendo de la metodología utilizada. A nivel comunal, el compostaje en el origen se puede efectuar de las siguientes formas:</w:t>
      </w:r>
    </w:p>
    <w:p w:rsidR="00D02FD1" w:rsidRPr="00360236" w:rsidRDefault="00D02FD1" w:rsidP="00D02FD1">
      <w:pPr>
        <w:numPr>
          <w:ilvl w:val="0"/>
          <w:numId w:val="8"/>
        </w:numPr>
        <w:tabs>
          <w:tab w:val="left" w:pos="709"/>
        </w:tabs>
        <w:spacing w:line="276" w:lineRule="auto"/>
        <w:jc w:val="both"/>
        <w:rPr>
          <w:rFonts w:eastAsia="Cambria"/>
        </w:rPr>
      </w:pPr>
      <w:r w:rsidRPr="00360236">
        <w:rPr>
          <w:rFonts w:eastAsia="Cambria"/>
        </w:rPr>
        <w:t>Compostaje en el hogar del generador (sin recolección): con composteras caseras, en el propio jardín o patio;</w:t>
      </w:r>
    </w:p>
    <w:p w:rsidR="00D02FD1" w:rsidRPr="00360236" w:rsidRDefault="00D02FD1" w:rsidP="00D02FD1">
      <w:pPr>
        <w:numPr>
          <w:ilvl w:val="0"/>
          <w:numId w:val="8"/>
        </w:numPr>
        <w:tabs>
          <w:tab w:val="left" w:pos="709"/>
        </w:tabs>
        <w:spacing w:after="240" w:line="276" w:lineRule="auto"/>
        <w:jc w:val="both"/>
        <w:rPr>
          <w:rFonts w:eastAsia="Cambria"/>
        </w:rPr>
      </w:pPr>
      <w:r w:rsidRPr="00360236">
        <w:rPr>
          <w:rFonts w:eastAsia="Cambria"/>
        </w:rPr>
        <w:t>Compostaje comunitario</w:t>
      </w:r>
      <w:r>
        <w:rPr>
          <w:rFonts w:eastAsia="Cambria"/>
        </w:rPr>
        <w:t xml:space="preserve">: </w:t>
      </w:r>
      <w:r w:rsidRPr="00360236">
        <w:rPr>
          <w:rFonts w:eastAsia="Cambria"/>
        </w:rPr>
        <w:t>forma descentralizada en áreas públicas (recolección manual).</w:t>
      </w:r>
    </w:p>
    <w:p w:rsidR="00D02FD1" w:rsidRPr="00360236" w:rsidRDefault="00D02FD1" w:rsidP="00D02FD1">
      <w:pPr>
        <w:rPr>
          <w:rFonts w:eastAsia="Cambria"/>
        </w:rPr>
      </w:pPr>
      <w:r w:rsidRPr="00360236">
        <w:rPr>
          <w:rFonts w:eastAsia="Cambria"/>
        </w:rPr>
        <w:t>Aparte de reducir la cantidad de desechos por depositar, el compostaje presenta el beneficio adicional de reducir la generación de líquidos percolados de los rellenos</w:t>
      </w:r>
      <w:r>
        <w:rPr>
          <w:rFonts w:eastAsia="Cambria"/>
        </w:rPr>
        <w:t xml:space="preserve"> sanitarios</w:t>
      </w:r>
      <w:r w:rsidRPr="00360236">
        <w:rPr>
          <w:rFonts w:eastAsia="Cambria"/>
        </w:rPr>
        <w:t xml:space="preserve">. Además, entrega como producto final un abono o “compost“, que puede ser empleado para mejorar la calidad del suelo en la agricultura, fruticultura vinicultura, o en los propios jardines de los </w:t>
      </w:r>
      <w:r w:rsidRPr="00360236">
        <w:rPr>
          <w:rFonts w:eastAsia="Cambria"/>
        </w:rPr>
        <w:lastRenderedPageBreak/>
        <w:t>usuarios.</w:t>
      </w:r>
      <w:r>
        <w:rPr>
          <w:rFonts w:eastAsia="Cambria"/>
        </w:rPr>
        <w:t xml:space="preserve"> La limitante del proceso de compostaje es la demanda del producto, que debe primero vencer la barrera del prejuicio, y luego cumplir siempre con buena calidad.</w:t>
      </w:r>
    </w:p>
    <w:p w:rsidR="00D02FD1" w:rsidRPr="00360236" w:rsidRDefault="00D02FD1" w:rsidP="00D02FD1">
      <w:pPr>
        <w:rPr>
          <w:rFonts w:eastAsia="Cambria"/>
        </w:rPr>
      </w:pPr>
    </w:p>
    <w:p w:rsidR="005F34F3" w:rsidRDefault="005F34F3" w:rsidP="005F34F3">
      <w:pPr>
        <w:spacing w:after="120"/>
        <w:rPr>
          <w:i/>
          <w:szCs w:val="24"/>
        </w:rPr>
      </w:pPr>
      <w:r w:rsidRPr="00005F5C">
        <w:rPr>
          <w:i/>
          <w:szCs w:val="24"/>
        </w:rPr>
        <w:t>Ventaja</w:t>
      </w:r>
      <w:r>
        <w:rPr>
          <w:i/>
          <w:szCs w:val="24"/>
        </w:rPr>
        <w:t xml:space="preserve">s </w:t>
      </w:r>
      <w:r w:rsidRPr="00005F5C">
        <w:rPr>
          <w:i/>
          <w:szCs w:val="24"/>
        </w:rPr>
        <w:t xml:space="preserve"> y Desventajas</w:t>
      </w:r>
      <w:r>
        <w:rPr>
          <w:i/>
          <w:szCs w:val="24"/>
        </w:rPr>
        <w:t xml:space="preserve"> de su incorporación</w:t>
      </w:r>
    </w:p>
    <w:p w:rsidR="005F34F3" w:rsidRPr="00005F5C" w:rsidRDefault="005F34F3" w:rsidP="005F34F3">
      <w:pPr>
        <w:numPr>
          <w:ilvl w:val="0"/>
          <w:numId w:val="14"/>
        </w:numPr>
        <w:tabs>
          <w:tab w:val="left" w:pos="709"/>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jc w:val="both"/>
        <w:rPr>
          <w:spacing w:val="-3"/>
          <w:szCs w:val="24"/>
        </w:rPr>
      </w:pPr>
      <w:r w:rsidRPr="00005F5C">
        <w:rPr>
          <w:spacing w:val="-3"/>
          <w:szCs w:val="24"/>
        </w:rPr>
        <w:t>Técnica simple</w:t>
      </w:r>
      <w:r>
        <w:rPr>
          <w:spacing w:val="-3"/>
          <w:szCs w:val="24"/>
        </w:rPr>
        <w:t>.</w:t>
      </w:r>
    </w:p>
    <w:p w:rsidR="005F34F3" w:rsidRPr="00005F5C" w:rsidRDefault="005F34F3" w:rsidP="005F34F3">
      <w:pPr>
        <w:numPr>
          <w:ilvl w:val="0"/>
          <w:numId w:val="14"/>
        </w:numPr>
        <w:tabs>
          <w:tab w:val="left" w:pos="709"/>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jc w:val="both"/>
        <w:rPr>
          <w:spacing w:val="-3"/>
          <w:szCs w:val="24"/>
        </w:rPr>
      </w:pPr>
      <w:r w:rsidRPr="00005F5C">
        <w:rPr>
          <w:spacing w:val="-3"/>
          <w:szCs w:val="24"/>
        </w:rPr>
        <w:t>Bajo costo de inversión y operación</w:t>
      </w:r>
      <w:r>
        <w:rPr>
          <w:spacing w:val="-3"/>
          <w:szCs w:val="24"/>
        </w:rPr>
        <w:t xml:space="preserve"> (Las composteras en el mercado nacional fluctúan entre  $55.000 y $75.000).  </w:t>
      </w:r>
    </w:p>
    <w:p w:rsidR="005F34F3" w:rsidRPr="009214BB" w:rsidRDefault="005F34F3" w:rsidP="005F34F3">
      <w:pPr>
        <w:pStyle w:val="VietaNormal"/>
        <w:numPr>
          <w:ilvl w:val="0"/>
          <w:numId w:val="14"/>
        </w:numPr>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rPr>
          <w:rFonts w:ascii="Times New Roman" w:hAnsi="Times New Roman" w:cs="Times New Roman"/>
          <w:i/>
          <w:spacing w:val="-3"/>
          <w:lang w:val="es-ES_tradnl"/>
        </w:rPr>
      </w:pPr>
      <w:r w:rsidRPr="00005F5C">
        <w:rPr>
          <w:rFonts w:ascii="Times New Roman" w:hAnsi="Times New Roman" w:cs="Times New Roman"/>
          <w:spacing w:val="-3"/>
          <w:lang w:val="es-ES_tradnl"/>
        </w:rPr>
        <w:t>Reducción en origen de las cantidades de residuos a recolectar (sobre todo en sectores rurales)</w:t>
      </w:r>
      <w:r>
        <w:rPr>
          <w:rFonts w:ascii="Times New Roman" w:hAnsi="Times New Roman" w:cs="Times New Roman"/>
          <w:spacing w:val="-3"/>
          <w:lang w:val="es-ES_tradnl"/>
        </w:rPr>
        <w:t xml:space="preserve">. </w:t>
      </w:r>
    </w:p>
    <w:p w:rsidR="005F34F3" w:rsidRPr="00005F5C" w:rsidRDefault="005F34F3" w:rsidP="005F34F3">
      <w:pPr>
        <w:pStyle w:val="VietaNormal"/>
        <w:numPr>
          <w:ilvl w:val="0"/>
          <w:numId w:val="14"/>
        </w:numPr>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rPr>
          <w:rFonts w:ascii="Times New Roman" w:hAnsi="Times New Roman" w:cs="Times New Roman"/>
          <w:spacing w:val="-3"/>
          <w:lang w:val="es-ES_tradnl"/>
        </w:rPr>
      </w:pPr>
      <w:r w:rsidRPr="00005F5C">
        <w:rPr>
          <w:rFonts w:ascii="Times New Roman" w:hAnsi="Times New Roman" w:cs="Times New Roman"/>
          <w:spacing w:val="-3"/>
          <w:lang w:val="es-ES_tradnl"/>
        </w:rPr>
        <w:t>Reducción cuantitativa de residuos por depositar (estimada sobre 40%)</w:t>
      </w:r>
      <w:r>
        <w:rPr>
          <w:rFonts w:ascii="Times New Roman" w:hAnsi="Times New Roman" w:cs="Times New Roman"/>
          <w:spacing w:val="-3"/>
          <w:lang w:val="es-ES_tradnl"/>
        </w:rPr>
        <w:t>.</w:t>
      </w:r>
    </w:p>
    <w:p w:rsidR="005F34F3" w:rsidRPr="00005F5C" w:rsidRDefault="005F34F3" w:rsidP="005F34F3">
      <w:pPr>
        <w:numPr>
          <w:ilvl w:val="0"/>
          <w:numId w:val="14"/>
        </w:numPr>
        <w:tabs>
          <w:tab w:val="left" w:pos="709"/>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jc w:val="both"/>
        <w:rPr>
          <w:spacing w:val="-3"/>
          <w:szCs w:val="24"/>
        </w:rPr>
      </w:pPr>
      <w:r w:rsidRPr="00005F5C">
        <w:rPr>
          <w:spacing w:val="-3"/>
          <w:szCs w:val="24"/>
        </w:rPr>
        <w:t>Separación en solo dos fracciones</w:t>
      </w:r>
      <w:r>
        <w:rPr>
          <w:spacing w:val="-3"/>
          <w:szCs w:val="24"/>
        </w:rPr>
        <w:t>.</w:t>
      </w:r>
    </w:p>
    <w:p w:rsidR="005F34F3" w:rsidRPr="00005F5C" w:rsidRDefault="005F34F3" w:rsidP="005F34F3">
      <w:pPr>
        <w:numPr>
          <w:ilvl w:val="0"/>
          <w:numId w:val="14"/>
        </w:numPr>
        <w:tabs>
          <w:tab w:val="left" w:pos="709"/>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jc w:val="both"/>
        <w:rPr>
          <w:spacing w:val="-3"/>
          <w:szCs w:val="24"/>
        </w:rPr>
      </w:pPr>
      <w:r w:rsidRPr="00005F5C">
        <w:rPr>
          <w:spacing w:val="-3"/>
          <w:szCs w:val="24"/>
        </w:rPr>
        <w:t>No requiere comercialización del producto (uso en el origen)</w:t>
      </w:r>
      <w:r>
        <w:rPr>
          <w:spacing w:val="-3"/>
          <w:szCs w:val="24"/>
        </w:rPr>
        <w:t>.</w:t>
      </w:r>
    </w:p>
    <w:p w:rsidR="005F34F3" w:rsidRPr="00005F5C" w:rsidRDefault="005F34F3" w:rsidP="005F34F3">
      <w:pPr>
        <w:pStyle w:val="VietaNormal"/>
        <w:numPr>
          <w:ilvl w:val="0"/>
          <w:numId w:val="13"/>
        </w:numPr>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rPr>
          <w:rFonts w:ascii="Times New Roman" w:hAnsi="Times New Roman" w:cs="Times New Roman"/>
        </w:rPr>
      </w:pPr>
      <w:r>
        <w:rPr>
          <w:rFonts w:ascii="Times New Roman" w:hAnsi="Times New Roman" w:cs="Times New Roman"/>
        </w:rPr>
        <w:t>El tiempo requerido para logra un c</w:t>
      </w:r>
      <w:r w:rsidRPr="00005F5C">
        <w:rPr>
          <w:rFonts w:ascii="Times New Roman" w:hAnsi="Times New Roman" w:cs="Times New Roman"/>
        </w:rPr>
        <w:t>ambio de hábito (separación de residuos en dos fracciones)</w:t>
      </w:r>
      <w:r>
        <w:rPr>
          <w:rFonts w:ascii="Times New Roman" w:hAnsi="Times New Roman" w:cs="Times New Roman"/>
        </w:rPr>
        <w:t>.</w:t>
      </w:r>
    </w:p>
    <w:p w:rsidR="005F34F3" w:rsidRPr="00005F5C" w:rsidRDefault="005F34F3" w:rsidP="005F34F3">
      <w:pPr>
        <w:pStyle w:val="VietaNormal"/>
        <w:numPr>
          <w:ilvl w:val="0"/>
          <w:numId w:val="13"/>
        </w:numPr>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line="276" w:lineRule="auto"/>
        <w:rPr>
          <w:rFonts w:ascii="Times New Roman" w:hAnsi="Times New Roman" w:cs="Times New Roman"/>
        </w:rPr>
      </w:pPr>
      <w:r w:rsidRPr="00005F5C">
        <w:rPr>
          <w:rFonts w:ascii="Times New Roman" w:hAnsi="Times New Roman" w:cs="Times New Roman"/>
        </w:rPr>
        <w:t>Requerimiento de espacio (patio, jardín)</w:t>
      </w:r>
      <w:r>
        <w:rPr>
          <w:rFonts w:ascii="Times New Roman" w:hAnsi="Times New Roman" w:cs="Times New Roman"/>
        </w:rPr>
        <w:t>.</w:t>
      </w:r>
    </w:p>
    <w:p w:rsidR="005F34F3" w:rsidRPr="004323FD" w:rsidRDefault="005F34F3" w:rsidP="005F34F3">
      <w:pPr>
        <w:pStyle w:val="VietaNormal"/>
        <w:numPr>
          <w:ilvl w:val="0"/>
          <w:numId w:val="13"/>
        </w:numPr>
        <w:tabs>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after="200" w:line="276" w:lineRule="auto"/>
        <w:rPr>
          <w:rFonts w:ascii="Times New Roman" w:hAnsi="Times New Roman" w:cs="Times New Roman"/>
          <w:spacing w:val="-3"/>
          <w:lang w:val="es-ES_tradnl"/>
        </w:rPr>
      </w:pPr>
      <w:r w:rsidRPr="00005F5C">
        <w:rPr>
          <w:rFonts w:ascii="Times New Roman" w:hAnsi="Times New Roman" w:cs="Times New Roman"/>
          <w:spacing w:val="-3"/>
          <w:lang w:val="es-ES_tradnl"/>
        </w:rPr>
        <w:t>Inversión en difusión, educación y capacitación (con retornos no-inmediatos)</w:t>
      </w:r>
      <w:r>
        <w:rPr>
          <w:rFonts w:ascii="Times New Roman" w:hAnsi="Times New Roman" w:cs="Times New Roman"/>
          <w:spacing w:val="-3"/>
          <w:lang w:val="es-ES_tradnl"/>
        </w:rPr>
        <w:t>.</w:t>
      </w:r>
    </w:p>
    <w:p w:rsidR="005F34F3" w:rsidRDefault="005F34F3" w:rsidP="005F34F3">
      <w:pPr>
        <w:tabs>
          <w:tab w:val="left" w:pos="426"/>
        </w:tabs>
        <w:spacing w:after="120"/>
        <w:rPr>
          <w:i/>
          <w:szCs w:val="24"/>
        </w:rPr>
      </w:pPr>
    </w:p>
    <w:p w:rsidR="005F34F3" w:rsidRPr="00732301" w:rsidRDefault="005F34F3" w:rsidP="005F34F3">
      <w:pPr>
        <w:pStyle w:val="ANEXOS"/>
        <w:numPr>
          <w:ilvl w:val="0"/>
          <w:numId w:val="18"/>
        </w:numPr>
        <w:jc w:val="left"/>
      </w:pPr>
      <w:bookmarkStart w:id="39" w:name="_Toc405237636"/>
      <w:r>
        <w:t>Reciclaje en puntos de entrega</w:t>
      </w:r>
      <w:bookmarkEnd w:id="39"/>
    </w:p>
    <w:p w:rsidR="005F34F3" w:rsidRPr="00155AF9" w:rsidRDefault="005F34F3" w:rsidP="00327B99">
      <w:pPr>
        <w:jc w:val="both"/>
        <w:rPr>
          <w:rFonts w:eastAsia="Cambria"/>
          <w:szCs w:val="24"/>
        </w:rPr>
      </w:pPr>
      <w:r w:rsidRPr="00CF5039">
        <w:rPr>
          <w:rFonts w:eastAsia="Cambria"/>
        </w:rPr>
        <w:t xml:space="preserve">La separación en origen es el método más adecuado para lograr la recuperación de materiales comercializables de calidad. </w:t>
      </w:r>
    </w:p>
    <w:p w:rsidR="005F34F3" w:rsidRPr="00203494" w:rsidRDefault="005F34F3" w:rsidP="005F34F3">
      <w:pPr>
        <w:tabs>
          <w:tab w:val="left" w:pos="709"/>
        </w:tabs>
        <w:ind w:left="1500"/>
        <w:rPr>
          <w:rFonts w:eastAsia="Cambria"/>
          <w:szCs w:val="24"/>
        </w:rPr>
      </w:pPr>
    </w:p>
    <w:p w:rsidR="005F34F3" w:rsidRDefault="005F34F3" w:rsidP="00327B99">
      <w:pPr>
        <w:jc w:val="both"/>
        <w:rPr>
          <w:szCs w:val="24"/>
        </w:rPr>
      </w:pPr>
      <w:r w:rsidRPr="00FB5046">
        <w:rPr>
          <w:szCs w:val="24"/>
        </w:rPr>
        <w:t xml:space="preserve">La mayoría de los programas de reciclaje están basados en un sistema de entrega, contenedores o campanas instalados en lugares públicos. No hay ni obligatoriedad, ni estímulos económicos para que los usuarios separen en su domicilio. </w:t>
      </w:r>
    </w:p>
    <w:p w:rsidR="00AA1CB6" w:rsidRDefault="00AA1CB6" w:rsidP="00327B99">
      <w:pPr>
        <w:jc w:val="both"/>
        <w:rPr>
          <w:szCs w:val="24"/>
        </w:rPr>
      </w:pPr>
    </w:p>
    <w:p w:rsidR="005F34F3" w:rsidRDefault="005F34F3" w:rsidP="00AA1CB6">
      <w:pPr>
        <w:jc w:val="both"/>
        <w:rPr>
          <w:szCs w:val="24"/>
        </w:rPr>
      </w:pPr>
      <w:r w:rsidRPr="00FB5046">
        <w:rPr>
          <w:szCs w:val="24"/>
        </w:rPr>
        <w:t>En el caso de</w:t>
      </w:r>
      <w:r>
        <w:rPr>
          <w:szCs w:val="24"/>
        </w:rPr>
        <w:t xml:space="preserve"> las experiencias de programas m</w:t>
      </w:r>
      <w:r w:rsidRPr="00FB5046">
        <w:rPr>
          <w:szCs w:val="24"/>
        </w:rPr>
        <w:t xml:space="preserve">unicipales están siendo operados en su mayoría por empresas privadas, ONG’s o agrupaciones sociales, que recibieron algún apoyo en forma de permisos municipales, uso de terreno, infraestructura y/o entrega de otros recursos. En muchos casos las empresas privadas de reciclaje entregan los contenedores y asumen el costo de retiro de los materiales. </w:t>
      </w:r>
    </w:p>
    <w:p w:rsidR="00AA1CB6" w:rsidRDefault="00AA1CB6" w:rsidP="005F34F3">
      <w:pPr>
        <w:rPr>
          <w:bCs/>
        </w:rPr>
      </w:pPr>
    </w:p>
    <w:p w:rsidR="00AA1CB6" w:rsidRDefault="005F34F3" w:rsidP="005F34F3">
      <w:pPr>
        <w:rPr>
          <w:bCs/>
        </w:rPr>
      </w:pPr>
      <w:r w:rsidRPr="00675380">
        <w:rPr>
          <w:bCs/>
        </w:rPr>
        <w:t>La participación de los usuarios suele estar del orden de un 10 a 20</w:t>
      </w:r>
      <w:r w:rsidR="00AA1CB6">
        <w:rPr>
          <w:bCs/>
        </w:rPr>
        <w:t>%.</w:t>
      </w:r>
    </w:p>
    <w:p w:rsidR="005F34F3" w:rsidRDefault="005F34F3" w:rsidP="005F34F3">
      <w:pPr>
        <w:pStyle w:val="Epgrafe"/>
      </w:pPr>
    </w:p>
    <w:p w:rsidR="00327B99" w:rsidRPr="00732301" w:rsidRDefault="00327B99" w:rsidP="00327B99">
      <w:pPr>
        <w:pStyle w:val="ANEXOS"/>
        <w:numPr>
          <w:ilvl w:val="0"/>
          <w:numId w:val="18"/>
        </w:numPr>
        <w:jc w:val="left"/>
      </w:pPr>
      <w:bookmarkStart w:id="40" w:name="_Toc405237637"/>
      <w:r>
        <w:t>Reciclaje en origen (domicilio)</w:t>
      </w:r>
      <w:bookmarkEnd w:id="40"/>
    </w:p>
    <w:p w:rsidR="00327B99" w:rsidRDefault="00327B99" w:rsidP="00327B99">
      <w:pPr>
        <w:jc w:val="both"/>
        <w:rPr>
          <w:rFonts w:eastAsia="Cambria"/>
        </w:rPr>
      </w:pPr>
      <w:r w:rsidRPr="00CF5039">
        <w:rPr>
          <w:rFonts w:eastAsia="Cambria"/>
        </w:rPr>
        <w:t xml:space="preserve">En el caso de la recolección “casa por casa” requiere necesariamente un grado de participación mayor de parte de los usuarios, </w:t>
      </w:r>
      <w:r>
        <w:rPr>
          <w:rFonts w:eastAsia="Cambria"/>
        </w:rPr>
        <w:t xml:space="preserve">ya </w:t>
      </w:r>
      <w:r>
        <w:t>que considera el uso de</w:t>
      </w:r>
      <w:r w:rsidRPr="00B46543">
        <w:t xml:space="preserve"> recipientes segreg</w:t>
      </w:r>
      <w:r>
        <w:t>ados para diferentes materiales,</w:t>
      </w:r>
      <w:r w:rsidRPr="00B46543">
        <w:t xml:space="preserve"> una recolección diferenciada y/o un sistema de entrega (contenedores en lugar</w:t>
      </w:r>
      <w:r>
        <w:t>es públicos, centros de acopio).</w:t>
      </w:r>
    </w:p>
    <w:p w:rsidR="00327B99" w:rsidRDefault="00327B99" w:rsidP="00327B99">
      <w:pPr>
        <w:rPr>
          <w:rFonts w:eastAsia="Cambria"/>
        </w:rPr>
      </w:pPr>
      <w:r>
        <w:rPr>
          <w:rFonts w:eastAsia="Cambria"/>
        </w:rPr>
        <w:t>L</w:t>
      </w:r>
      <w:r w:rsidRPr="00CF5039">
        <w:rPr>
          <w:rFonts w:eastAsia="Cambria"/>
        </w:rPr>
        <w:t>a experiencia práctica sin embargo</w:t>
      </w:r>
      <w:r>
        <w:rPr>
          <w:rFonts w:eastAsia="Cambria"/>
        </w:rPr>
        <w:t>,</w:t>
      </w:r>
      <w:r w:rsidRPr="00CF5039">
        <w:rPr>
          <w:rFonts w:eastAsia="Cambria"/>
        </w:rPr>
        <w:t xml:space="preserve"> indica que la segregación en fracciones individuales </w:t>
      </w:r>
      <w:r>
        <w:rPr>
          <w:rFonts w:eastAsia="Cambria"/>
        </w:rPr>
        <w:t xml:space="preserve">en domicilio, y su recolección </w:t>
      </w:r>
      <w:r w:rsidRPr="00CF5039">
        <w:rPr>
          <w:rFonts w:eastAsia="Cambria"/>
        </w:rPr>
        <w:t>presenta varios problemas:</w:t>
      </w:r>
    </w:p>
    <w:p w:rsidR="00327B99" w:rsidRPr="00CF5039" w:rsidRDefault="00327B99" w:rsidP="00327B99">
      <w:pPr>
        <w:numPr>
          <w:ilvl w:val="0"/>
          <w:numId w:val="17"/>
        </w:numPr>
        <w:tabs>
          <w:tab w:val="left" w:pos="709"/>
        </w:tabs>
        <w:spacing w:line="276" w:lineRule="auto"/>
        <w:jc w:val="both"/>
        <w:rPr>
          <w:rFonts w:eastAsia="Cambria"/>
          <w:szCs w:val="24"/>
        </w:rPr>
      </w:pPr>
      <w:r w:rsidRPr="00CF5039">
        <w:rPr>
          <w:rFonts w:eastAsia="Cambria"/>
          <w:szCs w:val="24"/>
        </w:rPr>
        <w:t>Falta de hábito de los usuarios</w:t>
      </w:r>
      <w:r>
        <w:rPr>
          <w:rFonts w:eastAsia="Cambria"/>
          <w:szCs w:val="24"/>
        </w:rPr>
        <w:t>.</w:t>
      </w:r>
    </w:p>
    <w:p w:rsidR="00327B99" w:rsidRPr="00CF5039" w:rsidRDefault="00327B99" w:rsidP="00327B99">
      <w:pPr>
        <w:numPr>
          <w:ilvl w:val="0"/>
          <w:numId w:val="17"/>
        </w:numPr>
        <w:tabs>
          <w:tab w:val="left" w:pos="709"/>
        </w:tabs>
        <w:spacing w:line="276" w:lineRule="auto"/>
        <w:jc w:val="both"/>
        <w:rPr>
          <w:rFonts w:eastAsia="Cambria"/>
          <w:szCs w:val="24"/>
        </w:rPr>
      </w:pPr>
      <w:r w:rsidRPr="00CF5039">
        <w:rPr>
          <w:rFonts w:eastAsia="Cambria"/>
          <w:szCs w:val="24"/>
        </w:rPr>
        <w:t>confusión con respecto a los días de retiro de los materiales</w:t>
      </w:r>
      <w:r>
        <w:rPr>
          <w:rFonts w:eastAsia="Cambria"/>
          <w:szCs w:val="24"/>
        </w:rPr>
        <w:t>.</w:t>
      </w:r>
    </w:p>
    <w:p w:rsidR="00327B99" w:rsidRPr="00CF5039" w:rsidRDefault="00327B99" w:rsidP="00327B99">
      <w:pPr>
        <w:numPr>
          <w:ilvl w:val="0"/>
          <w:numId w:val="17"/>
        </w:numPr>
        <w:tabs>
          <w:tab w:val="left" w:pos="709"/>
        </w:tabs>
        <w:spacing w:line="276" w:lineRule="auto"/>
        <w:jc w:val="both"/>
        <w:rPr>
          <w:rFonts w:eastAsia="Cambria"/>
          <w:szCs w:val="24"/>
        </w:rPr>
      </w:pPr>
      <w:r w:rsidRPr="00CF5039">
        <w:rPr>
          <w:rFonts w:eastAsia="Cambria"/>
          <w:szCs w:val="24"/>
        </w:rPr>
        <w:t>Problemas de espacio en el hogar para guardar múltiples contenedores</w:t>
      </w:r>
      <w:r>
        <w:rPr>
          <w:rFonts w:eastAsia="Cambria"/>
          <w:szCs w:val="24"/>
        </w:rPr>
        <w:t>.</w:t>
      </w:r>
    </w:p>
    <w:p w:rsidR="00327B99" w:rsidRPr="00155AF9" w:rsidRDefault="00327B99" w:rsidP="00327B99">
      <w:pPr>
        <w:numPr>
          <w:ilvl w:val="0"/>
          <w:numId w:val="17"/>
        </w:numPr>
        <w:tabs>
          <w:tab w:val="left" w:pos="709"/>
        </w:tabs>
        <w:spacing w:after="200" w:line="276" w:lineRule="auto"/>
        <w:jc w:val="both"/>
        <w:rPr>
          <w:rFonts w:eastAsia="Cambria"/>
          <w:szCs w:val="24"/>
        </w:rPr>
      </w:pPr>
      <w:r w:rsidRPr="00CF5039">
        <w:rPr>
          <w:rFonts w:eastAsia="Cambria"/>
          <w:szCs w:val="24"/>
        </w:rPr>
        <w:t>Errores de clasificación</w:t>
      </w:r>
      <w:r>
        <w:rPr>
          <w:rFonts w:eastAsia="Cambria"/>
          <w:szCs w:val="24"/>
        </w:rPr>
        <w:t>.</w:t>
      </w:r>
    </w:p>
    <w:p w:rsidR="00AA1CB6" w:rsidRPr="000F38F9" w:rsidRDefault="00AA1CB6" w:rsidP="00AA1CB6">
      <w:pPr>
        <w:pStyle w:val="ANEXOS"/>
        <w:numPr>
          <w:ilvl w:val="0"/>
          <w:numId w:val="18"/>
        </w:numPr>
        <w:jc w:val="left"/>
      </w:pPr>
      <w:bookmarkStart w:id="41" w:name="_Toc226953241"/>
      <w:bookmarkStart w:id="42" w:name="_Toc405010395"/>
      <w:bookmarkStart w:id="43" w:name="_Toc405237638"/>
      <w:r w:rsidRPr="000F38F9">
        <w:lastRenderedPageBreak/>
        <w:t>Métodos de Recolección</w:t>
      </w:r>
      <w:bookmarkEnd w:id="41"/>
      <w:bookmarkEnd w:id="42"/>
      <w:bookmarkEnd w:id="43"/>
    </w:p>
    <w:p w:rsidR="00AA1CB6" w:rsidRDefault="00AA1CB6" w:rsidP="00AA1CB6">
      <w:pPr>
        <w:tabs>
          <w:tab w:val="left" w:pos="-720"/>
        </w:tabs>
        <w:suppressAutoHyphens/>
        <w:jc w:val="both"/>
        <w:rPr>
          <w:spacing w:val="-3"/>
          <w:szCs w:val="24"/>
        </w:rPr>
      </w:pPr>
      <w:r w:rsidRPr="000F38F9">
        <w:rPr>
          <w:szCs w:val="24"/>
        </w:rPr>
        <w:t>El método de recolección de los RS</w:t>
      </w:r>
      <w:r>
        <w:rPr>
          <w:szCs w:val="24"/>
        </w:rPr>
        <w:t>D</w:t>
      </w:r>
      <w:r w:rsidRPr="000F38F9">
        <w:rPr>
          <w:szCs w:val="24"/>
        </w:rPr>
        <w:t xml:space="preserve"> tiene estrecha relación con la selección de los tipos de recipientes, vehículos y otros recursos. </w:t>
      </w:r>
      <w:r w:rsidRPr="000F38F9">
        <w:rPr>
          <w:spacing w:val="-3"/>
          <w:szCs w:val="24"/>
        </w:rPr>
        <w:t>En términos generales, se distinguen los métodos de recolección que se presentan a continuación</w:t>
      </w:r>
      <w:r>
        <w:rPr>
          <w:spacing w:val="-3"/>
          <w:szCs w:val="24"/>
        </w:rPr>
        <w:t>.</w:t>
      </w:r>
    </w:p>
    <w:p w:rsidR="00AA1CB6" w:rsidRDefault="00AA1CB6" w:rsidP="00AA1CB6">
      <w:pPr>
        <w:tabs>
          <w:tab w:val="left" w:pos="-720"/>
        </w:tabs>
        <w:suppressAutoHyphens/>
        <w:rPr>
          <w:spacing w:val="-3"/>
          <w:szCs w:val="24"/>
        </w:rPr>
      </w:pPr>
    </w:p>
    <w:p w:rsidR="00AA1CB6" w:rsidRPr="00C26C2B" w:rsidRDefault="00AA1CB6" w:rsidP="00AA1CB6">
      <w:pPr>
        <w:tabs>
          <w:tab w:val="left" w:pos="-720"/>
          <w:tab w:val="left" w:pos="709"/>
        </w:tabs>
        <w:suppressAutoHyphens/>
        <w:spacing w:after="120"/>
        <w:rPr>
          <w:spacing w:val="-3"/>
          <w:szCs w:val="24"/>
          <w:u w:val="single"/>
        </w:rPr>
      </w:pPr>
      <w:r w:rsidRPr="00C26C2B">
        <w:rPr>
          <w:spacing w:val="-3"/>
          <w:szCs w:val="24"/>
          <w:u w:val="single"/>
        </w:rPr>
        <w:t xml:space="preserve">Recolección sin Recipientes Estandarizados: </w:t>
      </w:r>
    </w:p>
    <w:p w:rsidR="00AA1CB6" w:rsidRPr="00D7464C" w:rsidRDefault="00AA1CB6" w:rsidP="00AA1CB6">
      <w:pPr>
        <w:jc w:val="both"/>
      </w:pPr>
      <w:r w:rsidRPr="00D7464C">
        <w:t>La recolección de los RS</w:t>
      </w:r>
      <w:r>
        <w:t>D</w:t>
      </w:r>
      <w:r w:rsidRPr="00D7464C">
        <w:t xml:space="preserve"> sin recipientes normados (por ej. bolsas plásticas de supermercado, tambores, cajas etc.) implica un mayor manejo manual e interacción de los residuos sólidos por parte de los operarios. </w:t>
      </w:r>
    </w:p>
    <w:p w:rsidR="00AA1CB6" w:rsidRPr="00B31905" w:rsidRDefault="00AA1CB6" w:rsidP="00AA1CB6"/>
    <w:p w:rsidR="00AA1CB6" w:rsidRPr="00C26C2B" w:rsidRDefault="00AA1CB6" w:rsidP="00AA1CB6">
      <w:pPr>
        <w:spacing w:after="120"/>
        <w:rPr>
          <w:spacing w:val="-3"/>
          <w:szCs w:val="24"/>
          <w:u w:val="single"/>
        </w:rPr>
      </w:pPr>
      <w:r w:rsidRPr="00C26C2B">
        <w:rPr>
          <w:spacing w:val="-3"/>
          <w:szCs w:val="24"/>
          <w:u w:val="single"/>
        </w:rPr>
        <w:t xml:space="preserve">Sistema de </w:t>
      </w:r>
      <w:r>
        <w:rPr>
          <w:spacing w:val="-3"/>
          <w:szCs w:val="24"/>
          <w:u w:val="single"/>
        </w:rPr>
        <w:t>Carga</w:t>
      </w:r>
      <w:r w:rsidRPr="00C26C2B">
        <w:rPr>
          <w:spacing w:val="-3"/>
          <w:szCs w:val="24"/>
          <w:u w:val="single"/>
        </w:rPr>
        <w:t xml:space="preserve">: </w:t>
      </w:r>
    </w:p>
    <w:p w:rsidR="00AA1CB6" w:rsidRPr="00B31905" w:rsidRDefault="00AA1CB6" w:rsidP="00AA1CB6">
      <w:pPr>
        <w:jc w:val="both"/>
        <w:rPr>
          <w:spacing w:val="-3"/>
          <w:szCs w:val="24"/>
        </w:rPr>
      </w:pPr>
      <w:r>
        <w:rPr>
          <w:spacing w:val="-3"/>
          <w:szCs w:val="24"/>
        </w:rPr>
        <w:t>Está basado en la</w:t>
      </w:r>
      <w:r w:rsidRPr="00B31905">
        <w:rPr>
          <w:spacing w:val="-3"/>
          <w:szCs w:val="24"/>
        </w:rPr>
        <w:t xml:space="preserve"> </w:t>
      </w:r>
      <w:r>
        <w:rPr>
          <w:spacing w:val="-3"/>
          <w:szCs w:val="24"/>
        </w:rPr>
        <w:t>carga</w:t>
      </w:r>
      <w:r w:rsidRPr="00B31905">
        <w:rPr>
          <w:spacing w:val="-3"/>
          <w:szCs w:val="24"/>
        </w:rPr>
        <w:t xml:space="preserve"> de los residuos sólidos desde contenedores estandarizados a los camiones de recolección, por medio de un sistema levantador hidráulico instalado en el vehículo. Una vez efectuada la operación, el contenedor se devuelve al lugar de origen (es decir no sirve </w:t>
      </w:r>
      <w:r>
        <w:rPr>
          <w:spacing w:val="-3"/>
          <w:szCs w:val="24"/>
        </w:rPr>
        <w:t>como contenedor de transporte).</w:t>
      </w:r>
    </w:p>
    <w:p w:rsidR="00AA1CB6" w:rsidRDefault="00AA1CB6" w:rsidP="00AA1CB6">
      <w:pPr>
        <w:jc w:val="both"/>
      </w:pPr>
      <w:r w:rsidRPr="004E3BD1">
        <w:t>Dado que las cantidades de desechos transferidos están limitadas por la capacidad de los contenedores, éstos no se ocupan en caso de grandes volúmenes de residuos, residuos pesados como escombros, chatarra, etc. En general se utiliza con residuos sólidos de origen domiciliario, comercial u otros residuos de menor densidad, generalmente con contenedores estandarizados con volúmenes entre 120 litros y 1.100 litros, en cuyos casos existen levanta-contenedores hidráulicos compatibles con los camiones tradicionales de carga trasera.</w:t>
      </w:r>
    </w:p>
    <w:p w:rsidR="00AA1CB6" w:rsidRDefault="00AA1CB6" w:rsidP="00AA1CB6">
      <w:pPr>
        <w:spacing w:after="120"/>
        <w:rPr>
          <w:spacing w:val="-3"/>
          <w:u w:val="single"/>
        </w:rPr>
      </w:pPr>
    </w:p>
    <w:p w:rsidR="00AA1CB6" w:rsidRPr="00C26C2B" w:rsidRDefault="00AA1CB6" w:rsidP="00AA1CB6">
      <w:pPr>
        <w:spacing w:after="120"/>
        <w:rPr>
          <w:spacing w:val="-3"/>
          <w:u w:val="single"/>
        </w:rPr>
      </w:pPr>
      <w:r w:rsidRPr="00C26C2B">
        <w:rPr>
          <w:spacing w:val="-3"/>
          <w:u w:val="single"/>
        </w:rPr>
        <w:t>Sistemas de Recipientes Desechables Estandarizados:</w:t>
      </w:r>
    </w:p>
    <w:p w:rsidR="00AA1CB6" w:rsidRPr="00B31905" w:rsidRDefault="00AA1CB6" w:rsidP="00AA1CB6">
      <w:pPr>
        <w:jc w:val="both"/>
        <w:rPr>
          <w:b/>
          <w:i/>
          <w:spacing w:val="-3"/>
        </w:rPr>
      </w:pPr>
      <w:r w:rsidRPr="00B31905">
        <w:rPr>
          <w:spacing w:val="-3"/>
        </w:rPr>
        <w:t>Consi</w:t>
      </w:r>
      <w:r>
        <w:rPr>
          <w:spacing w:val="-3"/>
        </w:rPr>
        <w:t>ste en la recolección de los RSD</w:t>
      </w:r>
      <w:r w:rsidRPr="00B31905">
        <w:rPr>
          <w:spacing w:val="-3"/>
        </w:rPr>
        <w:t xml:space="preserve"> en bolsas de material plástico o papel, con tamaños y una calidad estandarizados. Dado que la carga del camión se efectúa manualmente, la capacidad de los recipientes es limitada</w:t>
      </w:r>
      <w:r>
        <w:rPr>
          <w:spacing w:val="-3"/>
        </w:rPr>
        <w:t>.</w:t>
      </w:r>
    </w:p>
    <w:p w:rsidR="00AA1CB6" w:rsidRDefault="00AA1CB6" w:rsidP="00AA1CB6">
      <w:pPr>
        <w:jc w:val="both"/>
      </w:pPr>
      <w:r w:rsidRPr="00877548">
        <w:t>Este método no requiere de una inversión en contenedores o equipos hidráulicos levantadores en los vehículos. Sin embargo, los costos específicos por cantidad de RS recolectada pueden ser mayores a los costos de un sistema de transbordo de contenedores. Por el costo de las bolsas estandarizadas, es indispensable un control para asegurar que los usuarios efectivamente las usan.</w:t>
      </w:r>
    </w:p>
    <w:p w:rsidR="00AA1CB6" w:rsidRDefault="00AA1CB6" w:rsidP="00AA1CB6">
      <w:pPr>
        <w:tabs>
          <w:tab w:val="left" w:pos="-720"/>
          <w:tab w:val="left" w:pos="709"/>
        </w:tabs>
        <w:suppressAutoHyphens/>
        <w:spacing w:after="120"/>
        <w:rPr>
          <w:spacing w:val="-3"/>
          <w:szCs w:val="24"/>
          <w:u w:val="single"/>
        </w:rPr>
      </w:pPr>
    </w:p>
    <w:p w:rsidR="00AA1CB6" w:rsidRPr="00C26C2B" w:rsidRDefault="00AA1CB6" w:rsidP="00AA1CB6">
      <w:pPr>
        <w:tabs>
          <w:tab w:val="left" w:pos="-720"/>
          <w:tab w:val="left" w:pos="709"/>
        </w:tabs>
        <w:suppressAutoHyphens/>
        <w:spacing w:after="120"/>
        <w:jc w:val="both"/>
        <w:rPr>
          <w:spacing w:val="-3"/>
          <w:szCs w:val="24"/>
          <w:u w:val="single"/>
        </w:rPr>
      </w:pPr>
      <w:r w:rsidRPr="00C26C2B">
        <w:rPr>
          <w:spacing w:val="-3"/>
          <w:szCs w:val="24"/>
          <w:u w:val="single"/>
        </w:rPr>
        <w:t>Sistema de Recambio</w:t>
      </w:r>
      <w:r>
        <w:rPr>
          <w:spacing w:val="-3"/>
          <w:szCs w:val="24"/>
          <w:u w:val="single"/>
        </w:rPr>
        <w:t>:</w:t>
      </w:r>
    </w:p>
    <w:p w:rsidR="00AA1CB6" w:rsidRDefault="00AA1CB6" w:rsidP="00AA1CB6">
      <w:pPr>
        <w:jc w:val="both"/>
      </w:pPr>
      <w:r w:rsidRPr="00D7464C">
        <w:t>El contenedor lleno se reemplaza por uno vacío, es decir</w:t>
      </w:r>
      <w:r>
        <w:t>,</w:t>
      </w:r>
      <w:r w:rsidRPr="00D7464C">
        <w:t xml:space="preserve"> el recipiente de RSD sirve como contenedor de transporte. Generalmente los recipientes utilizados para el almacenamiento de residuos son “recipientes remolcables”, es decir</w:t>
      </w:r>
      <w:r>
        <w:t>,</w:t>
      </w:r>
      <w:r w:rsidRPr="00D7464C">
        <w:t xml:space="preserve"> se remolcan al sitio de procesamiento, se vacían y se devuelven a su ubicación original o a otro lugar. Los contenedores de remolque presentan capacidades mayores a 4 m</w:t>
      </w:r>
      <w:r w:rsidRPr="00D7464C">
        <w:rPr>
          <w:vertAlign w:val="superscript"/>
        </w:rPr>
        <w:t>3</w:t>
      </w:r>
      <w:r w:rsidRPr="00D7464C">
        <w:t xml:space="preserve"> y hasta 40 m</w:t>
      </w:r>
      <w:r w:rsidRPr="00D7464C">
        <w:rPr>
          <w:vertAlign w:val="superscript"/>
        </w:rPr>
        <w:t>3</w:t>
      </w:r>
      <w:r w:rsidRPr="00D7464C">
        <w:t>. El sistema es aplicable para residuos sólidos con una densidad alta o con volúmenes mayores (cantidades mayores a 4 m</w:t>
      </w:r>
      <w:r w:rsidRPr="00D7464C">
        <w:rPr>
          <w:vertAlign w:val="superscript"/>
        </w:rPr>
        <w:t>3</w:t>
      </w:r>
      <w:r w:rsidRPr="00D7464C">
        <w:t>), por ejemplo: arena, madera, chatarra, escombros y otros desperdicios de demolición de sitios de construcción.</w:t>
      </w:r>
    </w:p>
    <w:p w:rsidR="00AA1CB6" w:rsidRDefault="00AA1CB6" w:rsidP="00AA1CB6">
      <w:pPr>
        <w:pStyle w:val="VietaNormal"/>
        <w:tabs>
          <w:tab w:val="left" w:pos="-720"/>
        </w:tabs>
        <w:suppressAutoHyphens/>
        <w:spacing w:after="120" w:line="276" w:lineRule="auto"/>
        <w:rPr>
          <w:rFonts w:ascii="Times New Roman" w:hAnsi="Times New Roman" w:cs="Times New Roman"/>
          <w:spacing w:val="-3"/>
          <w:u w:val="single"/>
          <w:lang w:val="es-ES_tradnl"/>
        </w:rPr>
      </w:pPr>
      <w:bookmarkStart w:id="44" w:name="_Toc226953242"/>
    </w:p>
    <w:p w:rsidR="00AA1CB6" w:rsidRPr="00C26C2B" w:rsidRDefault="00AA1CB6" w:rsidP="00AA1CB6">
      <w:pPr>
        <w:pStyle w:val="VietaNormal"/>
        <w:tabs>
          <w:tab w:val="left" w:pos="-720"/>
        </w:tabs>
        <w:suppressAutoHyphens/>
        <w:spacing w:after="120" w:line="276" w:lineRule="auto"/>
        <w:rPr>
          <w:u w:val="single"/>
        </w:rPr>
      </w:pPr>
      <w:r w:rsidRPr="00C26C2B">
        <w:rPr>
          <w:rFonts w:ascii="Times New Roman" w:hAnsi="Times New Roman" w:cs="Times New Roman"/>
          <w:spacing w:val="-3"/>
          <w:u w:val="single"/>
          <w:lang w:val="es-ES_tradnl"/>
        </w:rPr>
        <w:t>Tipo de Recipientes</w:t>
      </w:r>
      <w:bookmarkEnd w:id="44"/>
      <w:r w:rsidRPr="00C26C2B">
        <w:rPr>
          <w:rFonts w:ascii="Times New Roman" w:hAnsi="Times New Roman" w:cs="Times New Roman"/>
          <w:spacing w:val="-3"/>
          <w:u w:val="single"/>
          <w:lang w:val="es-ES_tradnl"/>
        </w:rPr>
        <w:t xml:space="preserve"> Utilizados en la Recolección:</w:t>
      </w:r>
    </w:p>
    <w:p w:rsidR="00AA1CB6" w:rsidRPr="00444A53" w:rsidRDefault="00AA1CB6" w:rsidP="00AA1CB6">
      <w:pPr>
        <w:rPr>
          <w:bCs/>
        </w:rPr>
      </w:pPr>
      <w:r w:rsidRPr="00444A53">
        <w:rPr>
          <w:bCs/>
        </w:rPr>
        <w:t>Dependiendo del tipo de material, lugar de instalación y frecuencia de recolección, los tamaños de contenedores más comunes son los siguientes:</w:t>
      </w:r>
    </w:p>
    <w:p w:rsidR="00AA1CB6" w:rsidRPr="00444A53" w:rsidRDefault="00AA1CB6" w:rsidP="00AA1CB6">
      <w:pPr>
        <w:numPr>
          <w:ilvl w:val="0"/>
          <w:numId w:val="8"/>
        </w:numPr>
        <w:tabs>
          <w:tab w:val="left" w:pos="709"/>
        </w:tabs>
        <w:spacing w:line="276" w:lineRule="auto"/>
        <w:jc w:val="both"/>
        <w:rPr>
          <w:bCs/>
          <w:szCs w:val="24"/>
        </w:rPr>
      </w:pPr>
      <w:r w:rsidRPr="00444A53">
        <w:rPr>
          <w:bCs/>
          <w:szCs w:val="24"/>
        </w:rPr>
        <w:t>Contenedores pequeños de 10 a 80 litros</w:t>
      </w:r>
      <w:r>
        <w:rPr>
          <w:bCs/>
          <w:szCs w:val="24"/>
        </w:rPr>
        <w:t>.</w:t>
      </w:r>
    </w:p>
    <w:p w:rsidR="00AA1CB6" w:rsidRPr="00444A53" w:rsidRDefault="00AA1CB6" w:rsidP="00AA1CB6">
      <w:pPr>
        <w:numPr>
          <w:ilvl w:val="0"/>
          <w:numId w:val="8"/>
        </w:numPr>
        <w:tabs>
          <w:tab w:val="left" w:pos="709"/>
        </w:tabs>
        <w:spacing w:line="276" w:lineRule="auto"/>
        <w:jc w:val="both"/>
        <w:rPr>
          <w:bCs/>
          <w:szCs w:val="24"/>
        </w:rPr>
      </w:pPr>
      <w:r w:rsidRPr="00444A53">
        <w:rPr>
          <w:bCs/>
          <w:szCs w:val="24"/>
        </w:rPr>
        <w:t>Contenedores tipo MGB de 140, 240 y 360 litros</w:t>
      </w:r>
      <w:r>
        <w:rPr>
          <w:bCs/>
          <w:szCs w:val="24"/>
        </w:rPr>
        <w:t>.</w:t>
      </w:r>
    </w:p>
    <w:p w:rsidR="00AA1CB6" w:rsidRPr="00444A53" w:rsidRDefault="00AA1CB6" w:rsidP="00AA1CB6">
      <w:pPr>
        <w:numPr>
          <w:ilvl w:val="0"/>
          <w:numId w:val="8"/>
        </w:numPr>
        <w:tabs>
          <w:tab w:val="left" w:pos="709"/>
        </w:tabs>
        <w:spacing w:after="200" w:line="276" w:lineRule="auto"/>
        <w:jc w:val="both"/>
        <w:rPr>
          <w:bCs/>
          <w:szCs w:val="24"/>
        </w:rPr>
      </w:pPr>
      <w:r w:rsidRPr="00444A53">
        <w:rPr>
          <w:bCs/>
          <w:szCs w:val="24"/>
        </w:rPr>
        <w:t>Contenedores tipo MGB de 0,77 y 1,1 m</w:t>
      </w:r>
      <w:r w:rsidRPr="00444A53">
        <w:rPr>
          <w:bCs/>
          <w:szCs w:val="24"/>
          <w:vertAlign w:val="superscript"/>
        </w:rPr>
        <w:t>3</w:t>
      </w:r>
      <w:r>
        <w:rPr>
          <w:bCs/>
          <w:szCs w:val="24"/>
        </w:rPr>
        <w:t>.</w:t>
      </w:r>
    </w:p>
    <w:p w:rsidR="005F34F3" w:rsidRDefault="007439EB" w:rsidP="005F34F3">
      <w:pPr>
        <w:jc w:val="both"/>
        <w:rPr>
          <w:i/>
          <w:szCs w:val="24"/>
        </w:rPr>
      </w:pPr>
      <w:r w:rsidRPr="007439EB">
        <w:rPr>
          <w:i/>
          <w:noProof/>
          <w:szCs w:val="24"/>
          <w:lang w:val="es-CL" w:eastAsia="es-CL"/>
        </w:rPr>
        <w:lastRenderedPageBreak/>
        <w:drawing>
          <wp:inline distT="0" distB="0" distL="0" distR="0">
            <wp:extent cx="3698149" cy="4781550"/>
            <wp:effectExtent l="19050" t="0" r="0" b="0"/>
            <wp:docPr id="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3698149" cy="4781550"/>
                    </a:xfrm>
                    <a:prstGeom prst="rect">
                      <a:avLst/>
                    </a:prstGeom>
                    <a:noFill/>
                    <a:ln w="9525">
                      <a:noFill/>
                      <a:miter lim="800000"/>
                      <a:headEnd/>
                      <a:tailEnd/>
                    </a:ln>
                  </pic:spPr>
                </pic:pic>
              </a:graphicData>
            </a:graphic>
          </wp:inline>
        </w:drawing>
      </w:r>
    </w:p>
    <w:p w:rsidR="007439EB" w:rsidRDefault="007439EB" w:rsidP="005F34F3">
      <w:pPr>
        <w:jc w:val="both"/>
        <w:rPr>
          <w:i/>
          <w:szCs w:val="24"/>
        </w:rPr>
      </w:pPr>
    </w:p>
    <w:p w:rsidR="007439EB" w:rsidRPr="00B31905" w:rsidRDefault="007439EB" w:rsidP="007439EB">
      <w:pPr>
        <w:pStyle w:val="Prrafodelista"/>
        <w:ind w:left="0"/>
        <w:rPr>
          <w:rFonts w:eastAsia="Times New Roman"/>
          <w:i/>
          <w:szCs w:val="24"/>
        </w:rPr>
      </w:pPr>
      <w:r w:rsidRPr="00B31905">
        <w:rPr>
          <w:rFonts w:eastAsia="Times New Roman"/>
          <w:i/>
          <w:szCs w:val="24"/>
        </w:rPr>
        <w:t xml:space="preserve">Ventajas y desventajas de su incorporación </w:t>
      </w:r>
    </w:p>
    <w:p w:rsidR="007439EB" w:rsidRDefault="007439EB" w:rsidP="007439EB">
      <w:pPr>
        <w:tabs>
          <w:tab w:val="left" w:pos="-720"/>
          <w:tab w:val="left" w:pos="709"/>
        </w:tabs>
        <w:suppressAutoHyphens/>
        <w:rPr>
          <w:spacing w:val="-3"/>
          <w:szCs w:val="24"/>
          <w:u w:val="single"/>
        </w:rPr>
      </w:pPr>
      <w:r w:rsidRPr="00D94FFF">
        <w:rPr>
          <w:spacing w:val="-3"/>
          <w:szCs w:val="24"/>
          <w:u w:val="single"/>
        </w:rPr>
        <w:t xml:space="preserve">Recolección sin Recipientes Estandarizados: </w:t>
      </w:r>
    </w:p>
    <w:p w:rsidR="007439EB" w:rsidRPr="00D94FFF" w:rsidRDefault="007439EB" w:rsidP="007439EB">
      <w:pPr>
        <w:tabs>
          <w:tab w:val="left" w:pos="-720"/>
          <w:tab w:val="left" w:pos="709"/>
        </w:tabs>
        <w:suppressAutoHyphens/>
        <w:rPr>
          <w:spacing w:val="-3"/>
          <w:szCs w:val="24"/>
          <w:u w:val="single"/>
        </w:rPr>
      </w:pPr>
    </w:p>
    <w:p w:rsidR="007439EB" w:rsidRPr="00B31905" w:rsidRDefault="007439EB" w:rsidP="007439EB">
      <w:pPr>
        <w:numPr>
          <w:ilvl w:val="0"/>
          <w:numId w:val="22"/>
        </w:numPr>
        <w:tabs>
          <w:tab w:val="left" w:pos="-720"/>
        </w:tabs>
        <w:suppressAutoHyphens/>
        <w:spacing w:line="276" w:lineRule="auto"/>
        <w:ind w:left="721"/>
        <w:rPr>
          <w:spacing w:val="-3"/>
          <w:szCs w:val="24"/>
        </w:rPr>
      </w:pPr>
      <w:r w:rsidRPr="00B31905">
        <w:rPr>
          <w:spacing w:val="-3"/>
          <w:szCs w:val="24"/>
        </w:rPr>
        <w:t>No implica organización, inversión, ni mantención de los recipientes de parte de los municipios</w:t>
      </w:r>
      <w:r>
        <w:rPr>
          <w:spacing w:val="-3"/>
          <w:szCs w:val="24"/>
        </w:rPr>
        <w:t>.</w:t>
      </w:r>
    </w:p>
    <w:p w:rsidR="007439EB" w:rsidRPr="00B31905" w:rsidRDefault="007439EB" w:rsidP="007439EB">
      <w:pPr>
        <w:numPr>
          <w:ilvl w:val="0"/>
          <w:numId w:val="22"/>
        </w:numPr>
        <w:tabs>
          <w:tab w:val="left" w:pos="-720"/>
          <w:tab w:val="left" w:pos="709"/>
        </w:tabs>
        <w:suppressAutoHyphens/>
        <w:spacing w:line="276" w:lineRule="auto"/>
        <w:ind w:left="721"/>
        <w:rPr>
          <w:spacing w:val="-3"/>
          <w:szCs w:val="24"/>
        </w:rPr>
      </w:pPr>
      <w:r w:rsidRPr="00B31905">
        <w:rPr>
          <w:spacing w:val="-3"/>
          <w:szCs w:val="24"/>
        </w:rPr>
        <w:t>Bajo costo para el usuario</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rPr>
          <w:spacing w:val="-3"/>
          <w:szCs w:val="24"/>
        </w:rPr>
      </w:pPr>
      <w:r w:rsidRPr="00B31905">
        <w:rPr>
          <w:spacing w:val="-3"/>
          <w:szCs w:val="24"/>
        </w:rPr>
        <w:t>Mayor manejo manual de parte de los operarios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rPr>
          <w:spacing w:val="-3"/>
          <w:szCs w:val="24"/>
        </w:rPr>
      </w:pPr>
      <w:r w:rsidRPr="00B31905">
        <w:rPr>
          <w:spacing w:val="-3"/>
          <w:szCs w:val="24"/>
        </w:rPr>
        <w:t>Mayor probabilidad de accidentes para los operarios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rPr>
          <w:spacing w:val="-3"/>
          <w:szCs w:val="24"/>
        </w:rPr>
      </w:pPr>
      <w:r w:rsidRPr="00B31905">
        <w:rPr>
          <w:spacing w:val="-3"/>
          <w:szCs w:val="24"/>
        </w:rPr>
        <w:t>Rotura de bolsas</w:t>
      </w:r>
      <w:r>
        <w:rPr>
          <w:spacing w:val="-3"/>
          <w:szCs w:val="24"/>
        </w:rPr>
        <w:t>.</w:t>
      </w:r>
    </w:p>
    <w:p w:rsidR="007439EB" w:rsidRDefault="007439EB" w:rsidP="007439EB">
      <w:pPr>
        <w:numPr>
          <w:ilvl w:val="0"/>
          <w:numId w:val="23"/>
        </w:numPr>
        <w:tabs>
          <w:tab w:val="clear" w:pos="360"/>
          <w:tab w:val="left" w:pos="-720"/>
          <w:tab w:val="num" w:pos="720"/>
        </w:tabs>
        <w:suppressAutoHyphens/>
        <w:spacing w:after="200" w:line="276" w:lineRule="auto"/>
        <w:ind w:left="720"/>
        <w:rPr>
          <w:spacing w:val="-3"/>
          <w:szCs w:val="24"/>
        </w:rPr>
      </w:pPr>
      <w:r w:rsidRPr="00B31905">
        <w:rPr>
          <w:spacing w:val="-3"/>
          <w:szCs w:val="24"/>
        </w:rPr>
        <w:t>Situaciones sanitaria</w:t>
      </w:r>
      <w:r>
        <w:rPr>
          <w:spacing w:val="-3"/>
          <w:szCs w:val="24"/>
        </w:rPr>
        <w:t>s</w:t>
      </w:r>
      <w:r w:rsidRPr="00B31905">
        <w:rPr>
          <w:spacing w:val="-3"/>
          <w:szCs w:val="24"/>
        </w:rPr>
        <w:t xml:space="preserve"> e impacto ambiental negativas</w:t>
      </w:r>
      <w:r>
        <w:rPr>
          <w:spacing w:val="-3"/>
          <w:szCs w:val="24"/>
        </w:rPr>
        <w:t>.</w:t>
      </w:r>
    </w:p>
    <w:p w:rsidR="007439EB" w:rsidRDefault="007439EB" w:rsidP="007439EB">
      <w:pPr>
        <w:tabs>
          <w:tab w:val="left" w:pos="-720"/>
        </w:tabs>
        <w:suppressAutoHyphens/>
        <w:contextualSpacing/>
        <w:rPr>
          <w:spacing w:val="-3"/>
          <w:szCs w:val="24"/>
          <w:u w:val="single"/>
        </w:rPr>
      </w:pPr>
      <w:r w:rsidRPr="00D94FFF">
        <w:rPr>
          <w:spacing w:val="-3"/>
          <w:szCs w:val="24"/>
          <w:u w:val="single"/>
        </w:rPr>
        <w:t xml:space="preserve">Sistema de </w:t>
      </w:r>
      <w:r>
        <w:rPr>
          <w:spacing w:val="-3"/>
          <w:szCs w:val="24"/>
          <w:u w:val="single"/>
        </w:rPr>
        <w:t>Carga:</w:t>
      </w:r>
    </w:p>
    <w:p w:rsidR="007439EB" w:rsidRPr="00D94FFF" w:rsidRDefault="007439EB" w:rsidP="007439EB">
      <w:pPr>
        <w:tabs>
          <w:tab w:val="left" w:pos="-720"/>
        </w:tabs>
        <w:suppressAutoHyphens/>
        <w:contextualSpacing/>
        <w:rPr>
          <w:spacing w:val="-3"/>
          <w:szCs w:val="24"/>
          <w:u w:val="single"/>
        </w:rPr>
      </w:pPr>
    </w:p>
    <w:p w:rsidR="007439EB" w:rsidRPr="00B31905" w:rsidRDefault="007439EB" w:rsidP="007439EB">
      <w:pPr>
        <w:numPr>
          <w:ilvl w:val="0"/>
          <w:numId w:val="22"/>
        </w:numPr>
        <w:tabs>
          <w:tab w:val="left" w:pos="-720"/>
        </w:tabs>
        <w:suppressAutoHyphens/>
        <w:spacing w:line="276" w:lineRule="auto"/>
        <w:ind w:left="721"/>
        <w:jc w:val="both"/>
        <w:rPr>
          <w:spacing w:val="-3"/>
          <w:szCs w:val="24"/>
        </w:rPr>
      </w:pPr>
      <w:r>
        <w:rPr>
          <w:spacing w:val="-3"/>
          <w:szCs w:val="24"/>
        </w:rPr>
        <w:t>Mayor rendimiento.</w:t>
      </w:r>
    </w:p>
    <w:p w:rsidR="007439EB" w:rsidRPr="00B31905" w:rsidRDefault="007439EB" w:rsidP="007439EB">
      <w:pPr>
        <w:numPr>
          <w:ilvl w:val="0"/>
          <w:numId w:val="22"/>
        </w:numPr>
        <w:tabs>
          <w:tab w:val="left" w:pos="-720"/>
        </w:tabs>
        <w:suppressAutoHyphens/>
        <w:spacing w:line="276" w:lineRule="auto"/>
        <w:ind w:left="721"/>
        <w:jc w:val="both"/>
        <w:rPr>
          <w:spacing w:val="-3"/>
          <w:szCs w:val="24"/>
        </w:rPr>
      </w:pPr>
      <w:r w:rsidRPr="00B31905">
        <w:rPr>
          <w:spacing w:val="-3"/>
          <w:szCs w:val="24"/>
        </w:rPr>
        <w:t>Menor esfuerzo físico de los operarios</w:t>
      </w:r>
      <w:r>
        <w:rPr>
          <w:spacing w:val="-3"/>
          <w:szCs w:val="24"/>
        </w:rPr>
        <w:t>.</w:t>
      </w:r>
    </w:p>
    <w:p w:rsidR="007439EB" w:rsidRPr="00B31905" w:rsidRDefault="007439EB" w:rsidP="007439EB">
      <w:pPr>
        <w:numPr>
          <w:ilvl w:val="0"/>
          <w:numId w:val="22"/>
        </w:numPr>
        <w:tabs>
          <w:tab w:val="left" w:pos="-720"/>
        </w:tabs>
        <w:suppressAutoHyphens/>
        <w:spacing w:line="276" w:lineRule="auto"/>
        <w:ind w:left="721"/>
        <w:jc w:val="both"/>
        <w:rPr>
          <w:spacing w:val="-3"/>
          <w:szCs w:val="24"/>
        </w:rPr>
      </w:pPr>
      <w:r w:rsidRPr="00B31905">
        <w:rPr>
          <w:spacing w:val="-3"/>
          <w:szCs w:val="24"/>
        </w:rPr>
        <w:t>Seguridad laboral, higiene</w:t>
      </w:r>
      <w:r>
        <w:rPr>
          <w:spacing w:val="-3"/>
          <w:szCs w:val="24"/>
        </w:rPr>
        <w:t>.</w:t>
      </w:r>
    </w:p>
    <w:p w:rsidR="007439EB" w:rsidRPr="00B31905" w:rsidRDefault="007439EB" w:rsidP="007439EB">
      <w:pPr>
        <w:numPr>
          <w:ilvl w:val="0"/>
          <w:numId w:val="22"/>
        </w:numPr>
        <w:tabs>
          <w:tab w:val="left" w:pos="-720"/>
        </w:tabs>
        <w:suppressAutoHyphens/>
        <w:spacing w:line="276" w:lineRule="auto"/>
        <w:ind w:left="721"/>
        <w:jc w:val="both"/>
        <w:rPr>
          <w:spacing w:val="-3"/>
          <w:szCs w:val="24"/>
        </w:rPr>
      </w:pPr>
      <w:r w:rsidRPr="00B31905">
        <w:rPr>
          <w:spacing w:val="-3"/>
          <w:szCs w:val="24"/>
        </w:rPr>
        <w:t>Comodidad para los usuarios</w:t>
      </w:r>
      <w:r>
        <w:rPr>
          <w:spacing w:val="-3"/>
          <w:szCs w:val="24"/>
        </w:rPr>
        <w:t>.</w:t>
      </w:r>
    </w:p>
    <w:p w:rsidR="007439EB" w:rsidRPr="00B31905" w:rsidRDefault="007439EB" w:rsidP="007439EB">
      <w:pPr>
        <w:numPr>
          <w:ilvl w:val="0"/>
          <w:numId w:val="22"/>
        </w:numPr>
        <w:tabs>
          <w:tab w:val="left" w:pos="-720"/>
        </w:tabs>
        <w:suppressAutoHyphens/>
        <w:spacing w:line="276" w:lineRule="auto"/>
        <w:ind w:left="721"/>
        <w:jc w:val="both"/>
        <w:rPr>
          <w:spacing w:val="-3"/>
          <w:szCs w:val="24"/>
        </w:rPr>
      </w:pPr>
      <w:r w:rsidRPr="00B31905">
        <w:rPr>
          <w:spacing w:val="-3"/>
          <w:szCs w:val="24"/>
        </w:rPr>
        <w:t>Aspectos urbanistas y estéticos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rPr>
          <w:spacing w:val="-3"/>
          <w:szCs w:val="24"/>
        </w:rPr>
      </w:pPr>
      <w:r w:rsidRPr="00B31905">
        <w:rPr>
          <w:spacing w:val="-3"/>
          <w:szCs w:val="24"/>
        </w:rPr>
        <w:t>Requiere levanta-contenedores hidráulicos (reacondicionamiento de los camiones recolectores)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lastRenderedPageBreak/>
        <w:t>Lavado de contenedores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Problemas de hurto de contenedores o vandalismo</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Requiere espacio para el estacionamiento de los contenedores (en veredas, edificios)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Cambio de hábito en los usuarios, requiriendo probablemente pequeñas campañas de difusión previas a la implementación</w:t>
      </w:r>
      <w:r>
        <w:rPr>
          <w:spacing w:val="-3"/>
          <w:szCs w:val="24"/>
        </w:rPr>
        <w:t>.</w:t>
      </w:r>
      <w:r w:rsidRPr="00B31905">
        <w:rPr>
          <w:spacing w:val="-3"/>
          <w:szCs w:val="24"/>
        </w:rPr>
        <w:t xml:space="preserve"> </w:t>
      </w:r>
    </w:p>
    <w:p w:rsidR="007439EB" w:rsidRPr="00B31905" w:rsidRDefault="007439EB" w:rsidP="007439EB">
      <w:pPr>
        <w:numPr>
          <w:ilvl w:val="0"/>
          <w:numId w:val="23"/>
        </w:numPr>
        <w:tabs>
          <w:tab w:val="left" w:pos="-720"/>
          <w:tab w:val="left" w:pos="709"/>
        </w:tabs>
        <w:suppressAutoHyphens/>
        <w:spacing w:after="200" w:line="276" w:lineRule="auto"/>
        <w:ind w:left="720"/>
        <w:jc w:val="both"/>
        <w:rPr>
          <w:spacing w:val="-3"/>
          <w:szCs w:val="24"/>
        </w:rPr>
      </w:pPr>
      <w:r w:rsidRPr="00B31905">
        <w:rPr>
          <w:spacing w:val="-3"/>
          <w:szCs w:val="24"/>
        </w:rPr>
        <w:t>Costo de inversión y mantención de los recipientes</w:t>
      </w:r>
      <w:r>
        <w:rPr>
          <w:spacing w:val="-3"/>
          <w:szCs w:val="24"/>
        </w:rPr>
        <w:t>.</w:t>
      </w:r>
    </w:p>
    <w:p w:rsidR="007439EB" w:rsidRDefault="007439EB" w:rsidP="007439EB">
      <w:pPr>
        <w:pStyle w:val="VietaNormal"/>
        <w:tabs>
          <w:tab w:val="left" w:pos="-720"/>
        </w:tabs>
        <w:suppressAutoHyphens/>
        <w:spacing w:line="276" w:lineRule="auto"/>
        <w:contextualSpacing/>
        <w:rPr>
          <w:rFonts w:ascii="Times New Roman" w:hAnsi="Times New Roman" w:cs="Times New Roman"/>
          <w:spacing w:val="-3"/>
          <w:u w:val="single"/>
          <w:lang w:val="es-ES_tradnl"/>
        </w:rPr>
      </w:pPr>
    </w:p>
    <w:p w:rsidR="007439EB" w:rsidRDefault="007439EB" w:rsidP="007439EB">
      <w:pPr>
        <w:pStyle w:val="VietaNormal"/>
        <w:tabs>
          <w:tab w:val="left" w:pos="-720"/>
        </w:tabs>
        <w:suppressAutoHyphens/>
        <w:spacing w:line="276" w:lineRule="auto"/>
        <w:contextualSpacing/>
        <w:rPr>
          <w:rFonts w:ascii="Times New Roman" w:hAnsi="Times New Roman" w:cs="Times New Roman"/>
          <w:spacing w:val="-3"/>
          <w:u w:val="single"/>
          <w:lang w:val="es-ES_tradnl"/>
        </w:rPr>
      </w:pPr>
      <w:r w:rsidRPr="00D94FFF">
        <w:rPr>
          <w:rFonts w:ascii="Times New Roman" w:hAnsi="Times New Roman" w:cs="Times New Roman"/>
          <w:spacing w:val="-3"/>
          <w:u w:val="single"/>
          <w:lang w:val="es-ES_tradnl"/>
        </w:rPr>
        <w:t xml:space="preserve">Sistemas de Recipientes Desechables Estandarizados: </w:t>
      </w:r>
    </w:p>
    <w:p w:rsidR="007439EB" w:rsidRPr="00D94FFF" w:rsidRDefault="007439EB" w:rsidP="007439EB">
      <w:pPr>
        <w:pStyle w:val="VietaNormal"/>
        <w:tabs>
          <w:tab w:val="left" w:pos="-720"/>
        </w:tabs>
        <w:suppressAutoHyphens/>
        <w:spacing w:line="276" w:lineRule="auto"/>
        <w:contextualSpacing/>
        <w:rPr>
          <w:rFonts w:ascii="Times New Roman" w:hAnsi="Times New Roman" w:cs="Times New Roman"/>
          <w:spacing w:val="-3"/>
          <w:u w:val="single"/>
          <w:lang w:val="es-ES_tradnl"/>
        </w:rPr>
      </w:pPr>
    </w:p>
    <w:p w:rsidR="007439EB" w:rsidRPr="00B31905" w:rsidRDefault="007439EB" w:rsidP="007439EB">
      <w:pPr>
        <w:numPr>
          <w:ilvl w:val="0"/>
          <w:numId w:val="22"/>
        </w:numPr>
        <w:tabs>
          <w:tab w:val="left" w:pos="-720"/>
          <w:tab w:val="left" w:pos="709"/>
        </w:tabs>
        <w:suppressAutoHyphens/>
        <w:spacing w:line="276" w:lineRule="auto"/>
        <w:ind w:left="721"/>
        <w:jc w:val="both"/>
        <w:rPr>
          <w:spacing w:val="-3"/>
          <w:szCs w:val="24"/>
        </w:rPr>
      </w:pPr>
      <w:r w:rsidRPr="00B31905">
        <w:rPr>
          <w:spacing w:val="-3"/>
          <w:szCs w:val="24"/>
        </w:rPr>
        <w:t>Rapidez de recolección (en comparación con algunos contenedores estacionarios que tienen que ser repuestos por los operarios)</w:t>
      </w:r>
      <w:r>
        <w:rPr>
          <w:spacing w:val="-3"/>
          <w:szCs w:val="24"/>
        </w:rPr>
        <w:t>.</w:t>
      </w:r>
    </w:p>
    <w:p w:rsidR="007439EB" w:rsidRPr="00B31905" w:rsidRDefault="007439EB" w:rsidP="007439EB">
      <w:pPr>
        <w:numPr>
          <w:ilvl w:val="0"/>
          <w:numId w:val="22"/>
        </w:numPr>
        <w:tabs>
          <w:tab w:val="left" w:pos="-720"/>
          <w:tab w:val="left" w:pos="709"/>
        </w:tabs>
        <w:suppressAutoHyphens/>
        <w:spacing w:line="276" w:lineRule="auto"/>
        <w:ind w:left="721"/>
        <w:jc w:val="both"/>
        <w:rPr>
          <w:spacing w:val="-3"/>
          <w:szCs w:val="24"/>
        </w:rPr>
      </w:pPr>
      <w:r w:rsidRPr="00B31905">
        <w:rPr>
          <w:spacing w:val="-3"/>
          <w:szCs w:val="24"/>
        </w:rPr>
        <w:t>No requiere limpieza de contenedores</w:t>
      </w:r>
      <w:r>
        <w:rPr>
          <w:spacing w:val="-3"/>
          <w:szCs w:val="24"/>
        </w:rPr>
        <w:t>.</w:t>
      </w:r>
    </w:p>
    <w:p w:rsidR="007439EB" w:rsidRPr="00B31905" w:rsidRDefault="007439EB" w:rsidP="007439EB">
      <w:pPr>
        <w:numPr>
          <w:ilvl w:val="0"/>
          <w:numId w:val="22"/>
        </w:numPr>
        <w:tabs>
          <w:tab w:val="left" w:pos="-720"/>
          <w:tab w:val="left" w:pos="709"/>
        </w:tabs>
        <w:suppressAutoHyphens/>
        <w:spacing w:line="276" w:lineRule="auto"/>
        <w:ind w:left="721"/>
        <w:jc w:val="both"/>
        <w:rPr>
          <w:spacing w:val="-3"/>
          <w:szCs w:val="24"/>
        </w:rPr>
      </w:pPr>
      <w:r w:rsidRPr="00B31905">
        <w:rPr>
          <w:spacing w:val="-3"/>
          <w:szCs w:val="24"/>
        </w:rPr>
        <w:t>No requiere espacio designado para contenedores</w:t>
      </w:r>
      <w:r>
        <w:rPr>
          <w:spacing w:val="-3"/>
          <w:szCs w:val="24"/>
        </w:rPr>
        <w:t>.</w:t>
      </w:r>
    </w:p>
    <w:p w:rsidR="007439EB" w:rsidRPr="00B31905" w:rsidRDefault="007439EB" w:rsidP="007439EB">
      <w:pPr>
        <w:numPr>
          <w:ilvl w:val="0"/>
          <w:numId w:val="22"/>
        </w:numPr>
        <w:tabs>
          <w:tab w:val="left" w:pos="-720"/>
          <w:tab w:val="left" w:pos="709"/>
        </w:tabs>
        <w:suppressAutoHyphens/>
        <w:spacing w:line="276" w:lineRule="auto"/>
        <w:ind w:left="721"/>
        <w:jc w:val="both"/>
        <w:rPr>
          <w:spacing w:val="-3"/>
          <w:szCs w:val="24"/>
        </w:rPr>
      </w:pPr>
      <w:r w:rsidRPr="00B31905">
        <w:rPr>
          <w:spacing w:val="-3"/>
          <w:szCs w:val="24"/>
        </w:rPr>
        <w:t>La venta de las bolsas puede usarse como un instrumento de cobranza</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Manejo manual de parte de los operarios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Riesgo (algo menor) de rotura de bolsas</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Cambio de hábito en los usuarios, requiriendo probablemente campañas de difusión previas a la implementación</w:t>
      </w:r>
      <w:r>
        <w:rPr>
          <w:spacing w:val="-3"/>
          <w:szCs w:val="24"/>
        </w:rPr>
        <w:t>.</w:t>
      </w:r>
    </w:p>
    <w:p w:rsidR="007439EB" w:rsidRPr="00B31905" w:rsidRDefault="007439EB" w:rsidP="007439EB">
      <w:pPr>
        <w:numPr>
          <w:ilvl w:val="0"/>
          <w:numId w:val="23"/>
        </w:numPr>
        <w:tabs>
          <w:tab w:val="left" w:pos="-720"/>
          <w:tab w:val="left" w:pos="709"/>
        </w:tabs>
        <w:suppressAutoHyphens/>
        <w:spacing w:line="276" w:lineRule="auto"/>
        <w:ind w:left="720"/>
        <w:jc w:val="both"/>
        <w:rPr>
          <w:spacing w:val="-3"/>
          <w:szCs w:val="24"/>
        </w:rPr>
      </w:pPr>
      <w:r w:rsidRPr="00B31905">
        <w:rPr>
          <w:spacing w:val="-3"/>
          <w:szCs w:val="24"/>
        </w:rPr>
        <w:t>Costos adicionales para los usuarios (compra de las bolsas)</w:t>
      </w:r>
      <w:r>
        <w:rPr>
          <w:spacing w:val="-3"/>
          <w:szCs w:val="24"/>
        </w:rPr>
        <w:t>.</w:t>
      </w:r>
    </w:p>
    <w:p w:rsidR="007439EB" w:rsidRDefault="007439EB" w:rsidP="005F34F3">
      <w:pPr>
        <w:jc w:val="both"/>
        <w:rPr>
          <w:i/>
          <w:szCs w:val="24"/>
        </w:rPr>
      </w:pPr>
    </w:p>
    <w:p w:rsidR="007439EB" w:rsidRDefault="007439EB" w:rsidP="007439EB">
      <w:pPr>
        <w:pStyle w:val="ANEXOS"/>
        <w:numPr>
          <w:ilvl w:val="0"/>
          <w:numId w:val="18"/>
        </w:numPr>
        <w:jc w:val="left"/>
      </w:pPr>
      <w:bookmarkStart w:id="45" w:name="_Toc405010396"/>
      <w:bookmarkStart w:id="46" w:name="_Toc405237639"/>
      <w:r w:rsidRPr="002C1B8F">
        <w:t>Vehículos de Recolección</w:t>
      </w:r>
      <w:bookmarkEnd w:id="45"/>
      <w:bookmarkEnd w:id="46"/>
    </w:p>
    <w:p w:rsidR="007439EB" w:rsidRDefault="007439EB" w:rsidP="007439EB">
      <w:pPr>
        <w:jc w:val="both"/>
      </w:pPr>
      <w:r w:rsidRPr="00E86A0D">
        <w:t>Generalmente los camiones de recolección efectúan la extracción desde el generador y el transporte de los RS</w:t>
      </w:r>
      <w:r>
        <w:t>D</w:t>
      </w:r>
      <w:r w:rsidRPr="00E86A0D">
        <w:t xml:space="preserve"> hasta el lugar de disposición final (transporte directo</w:t>
      </w:r>
      <w:r>
        <w:t>).</w:t>
      </w:r>
      <w:r w:rsidRPr="00E86A0D">
        <w:t xml:space="preserve"> </w:t>
      </w:r>
      <w:r>
        <w:t>L</w:t>
      </w:r>
      <w:r w:rsidRPr="00E86A0D">
        <w:t>os componentes importantes del vehículo</w:t>
      </w:r>
      <w:r>
        <w:t xml:space="preserve">, </w:t>
      </w:r>
      <w:r w:rsidRPr="003C59D6">
        <w:t>se describen a continuación</w:t>
      </w:r>
      <w:r w:rsidRPr="00E86A0D">
        <w:t>:</w:t>
      </w:r>
    </w:p>
    <w:p w:rsidR="007439EB" w:rsidRPr="00E86A0D" w:rsidRDefault="007439EB" w:rsidP="007439EB">
      <w:pPr>
        <w:jc w:val="both"/>
        <w:rPr>
          <w:b/>
        </w:rPr>
      </w:pPr>
    </w:p>
    <w:p w:rsidR="007439EB" w:rsidRPr="00961DAE" w:rsidRDefault="007439EB" w:rsidP="007439EB">
      <w:pPr>
        <w:tabs>
          <w:tab w:val="left" w:pos="709"/>
        </w:tabs>
        <w:spacing w:after="120"/>
        <w:rPr>
          <w:szCs w:val="24"/>
          <w:u w:val="single"/>
        </w:rPr>
      </w:pPr>
      <w:r w:rsidRPr="00961DAE">
        <w:rPr>
          <w:szCs w:val="24"/>
          <w:u w:val="single"/>
        </w:rPr>
        <w:t>Chasis:</w:t>
      </w:r>
    </w:p>
    <w:p w:rsidR="007439EB" w:rsidRPr="00E86A0D" w:rsidRDefault="007439EB" w:rsidP="007439EB">
      <w:pPr>
        <w:tabs>
          <w:tab w:val="left" w:pos="709"/>
        </w:tabs>
        <w:spacing w:before="240" w:after="120"/>
        <w:rPr>
          <w:szCs w:val="24"/>
        </w:rPr>
      </w:pPr>
      <w:r w:rsidRPr="00E86A0D">
        <w:rPr>
          <w:szCs w:val="24"/>
        </w:rPr>
        <w:t>El chasis de los camiones recolectores suele ser de serie, de una marca y tipo común (por ej. Mercedes Benz, General Motors, Ford, Iveco, International). El camión debe ser fácil de maneja</w:t>
      </w:r>
      <w:r>
        <w:rPr>
          <w:szCs w:val="24"/>
        </w:rPr>
        <w:t>r en las calles, considerando la</w:t>
      </w:r>
      <w:r w:rsidRPr="00E86A0D">
        <w:rPr>
          <w:szCs w:val="24"/>
        </w:rPr>
        <w:t xml:space="preserve">s pendientes y la topografía existente. </w:t>
      </w:r>
    </w:p>
    <w:p w:rsidR="007439EB" w:rsidRPr="0001614C" w:rsidRDefault="007439EB" w:rsidP="007439EB">
      <w:pPr>
        <w:tabs>
          <w:tab w:val="left" w:pos="709"/>
        </w:tabs>
        <w:spacing w:after="120"/>
        <w:rPr>
          <w:szCs w:val="24"/>
          <w:u w:val="single"/>
        </w:rPr>
      </w:pPr>
      <w:r w:rsidRPr="00961DAE">
        <w:rPr>
          <w:szCs w:val="24"/>
          <w:u w:val="single"/>
        </w:rPr>
        <w:t>Compactación</w:t>
      </w:r>
      <w:r>
        <w:rPr>
          <w:szCs w:val="24"/>
          <w:u w:val="single"/>
        </w:rPr>
        <w:t>:</w:t>
      </w:r>
    </w:p>
    <w:p w:rsidR="007439EB" w:rsidRDefault="007439EB" w:rsidP="007439EB">
      <w:pPr>
        <w:tabs>
          <w:tab w:val="left" w:pos="709"/>
        </w:tabs>
        <w:jc w:val="both"/>
        <w:rPr>
          <w:szCs w:val="24"/>
        </w:rPr>
      </w:pPr>
      <w:r w:rsidRPr="00E86A0D">
        <w:rPr>
          <w:szCs w:val="24"/>
        </w:rPr>
        <w:t xml:space="preserve">Los vehículos de recolección utilizados hoy en día en la mayoría de las comunas a </w:t>
      </w:r>
      <w:r>
        <w:rPr>
          <w:szCs w:val="24"/>
        </w:rPr>
        <w:t xml:space="preserve">nivel internacional y nacional </w:t>
      </w:r>
      <w:r w:rsidRPr="00E86A0D">
        <w:rPr>
          <w:szCs w:val="24"/>
        </w:rPr>
        <w:t xml:space="preserve">están equipados con una compactación hidráulica de los RSD recolectados. Lo anterior tiene la ventaja de poder cargar 2 a 3 veces la cantidad de residuos en un sólo viaje de recolección y transporte, en comparación con un vehículo sin compactación. </w:t>
      </w:r>
    </w:p>
    <w:p w:rsidR="007439EB" w:rsidRPr="00E86A0D" w:rsidRDefault="007439EB" w:rsidP="007439EB">
      <w:pPr>
        <w:tabs>
          <w:tab w:val="left" w:pos="709"/>
        </w:tabs>
        <w:jc w:val="both"/>
        <w:rPr>
          <w:szCs w:val="24"/>
        </w:rPr>
      </w:pPr>
    </w:p>
    <w:p w:rsidR="007439EB" w:rsidRPr="00961DAE" w:rsidRDefault="007439EB" w:rsidP="007439EB">
      <w:pPr>
        <w:tabs>
          <w:tab w:val="left" w:pos="709"/>
        </w:tabs>
        <w:spacing w:after="120"/>
        <w:rPr>
          <w:szCs w:val="24"/>
          <w:u w:val="single"/>
        </w:rPr>
      </w:pPr>
      <w:r w:rsidRPr="00961DAE">
        <w:rPr>
          <w:szCs w:val="24"/>
          <w:u w:val="single"/>
        </w:rPr>
        <w:t>Levantador Hidráulico de Contenedores:</w:t>
      </w:r>
    </w:p>
    <w:p w:rsidR="007439EB" w:rsidRDefault="007439EB" w:rsidP="007439EB">
      <w:pPr>
        <w:tabs>
          <w:tab w:val="left" w:pos="709"/>
        </w:tabs>
        <w:spacing w:before="120" w:after="120"/>
        <w:jc w:val="both"/>
        <w:rPr>
          <w:szCs w:val="24"/>
        </w:rPr>
      </w:pPr>
      <w:r w:rsidRPr="00E86A0D">
        <w:rPr>
          <w:szCs w:val="24"/>
        </w:rPr>
        <w:t>Cuando se usan sistema de contenedores, con volúmenes sobre 110 litros, el equipo levantador hidráulico es un requerimiento tanto del punto de vista de la eficiencia operacional así como por razones de salud y seguridad laboral y legal</w:t>
      </w:r>
      <w:r>
        <w:rPr>
          <w:szCs w:val="24"/>
        </w:rPr>
        <w:t>.</w:t>
      </w:r>
    </w:p>
    <w:p w:rsidR="007439EB" w:rsidRDefault="007439EB" w:rsidP="007439EB">
      <w:pPr>
        <w:tabs>
          <w:tab w:val="left" w:pos="709"/>
        </w:tabs>
        <w:spacing w:before="120" w:after="120"/>
        <w:rPr>
          <w:szCs w:val="24"/>
        </w:rPr>
      </w:pPr>
    </w:p>
    <w:tbl>
      <w:tblPr>
        <w:tblStyle w:val="Tablaconcuadrcula"/>
        <w:tblW w:w="0" w:type="auto"/>
        <w:tblLook w:val="04A0" w:firstRow="1" w:lastRow="0" w:firstColumn="1" w:lastColumn="0" w:noHBand="0" w:noVBand="1"/>
      </w:tblPr>
      <w:tblGrid>
        <w:gridCol w:w="8644"/>
      </w:tblGrid>
      <w:tr w:rsidR="007439EB" w:rsidTr="002F1A55">
        <w:tc>
          <w:tcPr>
            <w:tcW w:w="8644" w:type="dxa"/>
          </w:tcPr>
          <w:p w:rsidR="007439EB" w:rsidRDefault="007439EB" w:rsidP="002F1A55">
            <w:pPr>
              <w:tabs>
                <w:tab w:val="left" w:pos="709"/>
              </w:tabs>
              <w:spacing w:before="120" w:after="120"/>
              <w:jc w:val="center"/>
              <w:rPr>
                <w:szCs w:val="24"/>
              </w:rPr>
            </w:pPr>
            <w:r>
              <w:rPr>
                <w:noProof/>
                <w:szCs w:val="24"/>
                <w:lang w:val="es-CL" w:eastAsia="es-CL"/>
              </w:rPr>
              <w:lastRenderedPageBreak/>
              <w:drawing>
                <wp:inline distT="0" distB="0" distL="0" distR="0">
                  <wp:extent cx="3703824" cy="4838700"/>
                  <wp:effectExtent l="19050" t="0" r="0" b="0"/>
                  <wp:docPr id="2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3703824" cy="4838700"/>
                          </a:xfrm>
                          <a:prstGeom prst="rect">
                            <a:avLst/>
                          </a:prstGeom>
                          <a:noFill/>
                          <a:ln w="9525">
                            <a:noFill/>
                            <a:miter lim="800000"/>
                            <a:headEnd/>
                            <a:tailEnd/>
                          </a:ln>
                        </pic:spPr>
                      </pic:pic>
                    </a:graphicData>
                  </a:graphic>
                </wp:inline>
              </w:drawing>
            </w:r>
          </w:p>
        </w:tc>
      </w:tr>
    </w:tbl>
    <w:p w:rsidR="007439EB" w:rsidRPr="0040649D" w:rsidRDefault="007439EB" w:rsidP="007439EB">
      <w:pPr>
        <w:pStyle w:val="Epgrafe"/>
        <w:spacing w:after="0"/>
        <w:jc w:val="center"/>
        <w:rPr>
          <w:szCs w:val="24"/>
        </w:rPr>
      </w:pPr>
      <w:r>
        <w:t xml:space="preserve">Ilustración </w:t>
      </w:r>
      <w:r w:rsidR="00E733CF">
        <w:fldChar w:fldCharType="begin"/>
      </w:r>
      <w:r w:rsidR="00E733CF">
        <w:instrText xml:space="preserve"> STYLEREF 1 \s </w:instrText>
      </w:r>
      <w:r w:rsidR="00E733CF">
        <w:fldChar w:fldCharType="separate"/>
      </w:r>
      <w:r>
        <w:rPr>
          <w:noProof/>
        </w:rPr>
        <w:t>2</w:t>
      </w:r>
      <w:r w:rsidR="00E733CF">
        <w:rPr>
          <w:noProof/>
        </w:rPr>
        <w:fldChar w:fldCharType="end"/>
      </w:r>
      <w:r>
        <w:noBreakHyphen/>
      </w:r>
      <w:r w:rsidR="00E733CF">
        <w:fldChar w:fldCharType="begin"/>
      </w:r>
      <w:r w:rsidR="00E733CF">
        <w:instrText xml:space="preserve"> SEQ Ilustración \* ARABIC \s 1 </w:instrText>
      </w:r>
      <w:r w:rsidR="00E733CF">
        <w:fldChar w:fldCharType="separate"/>
      </w:r>
      <w:r>
        <w:rPr>
          <w:noProof/>
        </w:rPr>
        <w:t>4</w:t>
      </w:r>
      <w:r w:rsidR="00E733CF">
        <w:rPr>
          <w:noProof/>
        </w:rPr>
        <w:fldChar w:fldCharType="end"/>
      </w:r>
      <w:r>
        <w:t xml:space="preserve"> Tipos de levanta-contenedores.</w:t>
      </w:r>
    </w:p>
    <w:p w:rsidR="007439EB" w:rsidRPr="00B72B50" w:rsidRDefault="007439EB" w:rsidP="007439EB">
      <w:pPr>
        <w:tabs>
          <w:tab w:val="left" w:pos="709"/>
        </w:tabs>
        <w:jc w:val="center"/>
        <w:rPr>
          <w:sz w:val="18"/>
          <w:szCs w:val="18"/>
        </w:rPr>
      </w:pPr>
      <w:r w:rsidRPr="00BC5186">
        <w:rPr>
          <w:sz w:val="18"/>
          <w:szCs w:val="18"/>
        </w:rPr>
        <w:t>.</w:t>
      </w:r>
    </w:p>
    <w:p w:rsidR="007439EB" w:rsidRDefault="007439EB" w:rsidP="007439EB">
      <w:pPr>
        <w:tabs>
          <w:tab w:val="left" w:pos="709"/>
        </w:tabs>
        <w:spacing w:after="120"/>
        <w:rPr>
          <w:szCs w:val="24"/>
          <w:u w:val="single"/>
        </w:rPr>
      </w:pPr>
    </w:p>
    <w:p w:rsidR="007439EB" w:rsidRPr="00961DAE" w:rsidRDefault="007439EB" w:rsidP="007439EB">
      <w:pPr>
        <w:tabs>
          <w:tab w:val="left" w:pos="709"/>
        </w:tabs>
        <w:spacing w:after="120"/>
        <w:rPr>
          <w:szCs w:val="24"/>
          <w:u w:val="single"/>
        </w:rPr>
      </w:pPr>
      <w:r w:rsidRPr="00961DAE">
        <w:rPr>
          <w:szCs w:val="24"/>
          <w:u w:val="single"/>
        </w:rPr>
        <w:t>Superestructura (Capacidad):</w:t>
      </w:r>
    </w:p>
    <w:p w:rsidR="007439EB" w:rsidRDefault="007439EB" w:rsidP="007439EB">
      <w:pPr>
        <w:tabs>
          <w:tab w:val="left" w:pos="709"/>
        </w:tabs>
        <w:spacing w:before="200" w:after="120"/>
        <w:jc w:val="both"/>
        <w:rPr>
          <w:szCs w:val="24"/>
        </w:rPr>
      </w:pPr>
      <w:r w:rsidRPr="00E86A0D">
        <w:rPr>
          <w:szCs w:val="24"/>
        </w:rPr>
        <w:t>Las estructuras modernas de carga son cerradas para evitar emisiones de líquidos, polvo, olores y problemas higiénicos. Existen superestructuras con capacidades de entre 6 m</w:t>
      </w:r>
      <w:r w:rsidRPr="00E86A0D">
        <w:rPr>
          <w:szCs w:val="24"/>
          <w:vertAlign w:val="superscript"/>
        </w:rPr>
        <w:t xml:space="preserve">3 </w:t>
      </w:r>
      <w:r w:rsidRPr="00E86A0D">
        <w:rPr>
          <w:szCs w:val="24"/>
        </w:rPr>
        <w:t xml:space="preserve"> y 20 m</w:t>
      </w:r>
      <w:r w:rsidRPr="00E86A0D">
        <w:rPr>
          <w:szCs w:val="24"/>
          <w:vertAlign w:val="superscript"/>
        </w:rPr>
        <w:t>3</w:t>
      </w:r>
      <w:r w:rsidRPr="00E86A0D">
        <w:rPr>
          <w:szCs w:val="24"/>
        </w:rPr>
        <w:t xml:space="preserve"> y una carga útil de entre 4,5 y 10 toneladas (considerando una densidad del orden de 0,5 t/m</w:t>
      </w:r>
      <w:r w:rsidRPr="00E86A0D">
        <w:rPr>
          <w:szCs w:val="24"/>
          <w:vertAlign w:val="superscript"/>
        </w:rPr>
        <w:t>3</w:t>
      </w:r>
      <w:r w:rsidRPr="00E86A0D">
        <w:rPr>
          <w:szCs w:val="24"/>
        </w:rPr>
        <w:t xml:space="preserve">). Para minimizar los tiempos de transporte idealmente la capacidad de la superestructura debe recibir la cantidad diaria de residuos en </w:t>
      </w:r>
      <w:r w:rsidRPr="00EA1D0D">
        <w:rPr>
          <w:szCs w:val="24"/>
        </w:rPr>
        <w:t>dos</w:t>
      </w:r>
      <w:r w:rsidRPr="00E86A0D">
        <w:rPr>
          <w:szCs w:val="24"/>
        </w:rPr>
        <w:t xml:space="preserve"> recorridos de recolección.</w:t>
      </w:r>
      <w:r>
        <w:rPr>
          <w:szCs w:val="24"/>
        </w:rPr>
        <w:t xml:space="preserve"> </w:t>
      </w:r>
    </w:p>
    <w:p w:rsidR="007439EB" w:rsidRDefault="007439EB" w:rsidP="007439EB">
      <w:pPr>
        <w:pStyle w:val="Prrafodelista"/>
        <w:spacing w:after="120"/>
        <w:ind w:left="0"/>
        <w:rPr>
          <w:rFonts w:eastAsia="Times New Roman"/>
          <w:i/>
          <w:szCs w:val="24"/>
        </w:rPr>
      </w:pPr>
    </w:p>
    <w:p w:rsidR="007439EB" w:rsidRPr="00B31905" w:rsidRDefault="007439EB" w:rsidP="007439EB">
      <w:pPr>
        <w:pStyle w:val="Prrafodelista"/>
        <w:spacing w:after="120"/>
        <w:ind w:left="0"/>
        <w:rPr>
          <w:rFonts w:eastAsia="Times New Roman"/>
          <w:i/>
          <w:szCs w:val="24"/>
        </w:rPr>
      </w:pPr>
      <w:r w:rsidRPr="00B31905">
        <w:rPr>
          <w:rFonts w:eastAsia="Times New Roman"/>
          <w:i/>
          <w:szCs w:val="24"/>
        </w:rPr>
        <w:t>Factibilidad de implementación</w:t>
      </w:r>
    </w:p>
    <w:p w:rsidR="007439EB" w:rsidRDefault="007439EB" w:rsidP="007439EB">
      <w:pPr>
        <w:jc w:val="both"/>
      </w:pPr>
      <w:r w:rsidRPr="00E86A0D">
        <w:t>La adquisición de camiones recolectores con compactación es factible independientemente del tamaño de las comunas, sin embargo un tamaño mínimo de 2.000 habitantes o la administración mancomunada ofrece mejores economías de escala.</w:t>
      </w:r>
    </w:p>
    <w:p w:rsidR="007439EB" w:rsidRDefault="007439EB" w:rsidP="005F34F3">
      <w:pPr>
        <w:jc w:val="both"/>
        <w:rPr>
          <w:i/>
          <w:szCs w:val="24"/>
        </w:rPr>
      </w:pPr>
    </w:p>
    <w:p w:rsidR="00944856" w:rsidRPr="00077CA8" w:rsidRDefault="00944856" w:rsidP="00944856">
      <w:pPr>
        <w:rPr>
          <w:lang w:val="es-CL"/>
        </w:rPr>
      </w:pPr>
    </w:p>
    <w:p w:rsidR="00944856" w:rsidRPr="00BA31D7" w:rsidRDefault="00944856" w:rsidP="00944856">
      <w:pPr>
        <w:pStyle w:val="ANEXOS"/>
        <w:numPr>
          <w:ilvl w:val="0"/>
          <w:numId w:val="18"/>
        </w:numPr>
        <w:jc w:val="left"/>
      </w:pPr>
      <w:bookmarkStart w:id="47" w:name="_Toc226953244"/>
      <w:bookmarkStart w:id="48" w:name="_Toc252887120"/>
      <w:bookmarkStart w:id="49" w:name="_Toc283757074"/>
      <w:bookmarkStart w:id="50" w:name="_Toc291598819"/>
      <w:bookmarkStart w:id="51" w:name="_Toc292898212"/>
      <w:bookmarkStart w:id="52" w:name="_Toc405010397"/>
      <w:bookmarkStart w:id="53" w:name="_Toc405237640"/>
      <w:r w:rsidRPr="00BA31D7">
        <w:t>Transferencia y Transporte</w:t>
      </w:r>
      <w:bookmarkEnd w:id="47"/>
      <w:bookmarkEnd w:id="48"/>
      <w:bookmarkEnd w:id="49"/>
      <w:bookmarkEnd w:id="50"/>
      <w:bookmarkEnd w:id="51"/>
      <w:bookmarkEnd w:id="52"/>
      <w:bookmarkEnd w:id="53"/>
    </w:p>
    <w:p w:rsidR="00944856" w:rsidRDefault="00944856" w:rsidP="00944856">
      <w:pPr>
        <w:jc w:val="both"/>
      </w:pPr>
      <w:r>
        <w:t>La transferencia de los RSD</w:t>
      </w:r>
      <w:r w:rsidRPr="0040649D">
        <w:t xml:space="preserve"> a vehículos de mayor capacidad no solamente permite el transporte de los residuos a lugares de disposición final más distantes, sino también reduce </w:t>
      </w:r>
      <w:r w:rsidRPr="0040649D">
        <w:lastRenderedPageBreak/>
        <w:t xml:space="preserve">la dependencia de las comunas de un solo proveedor de servicio de disposición y mejora su capacidad de negociación. El análisis preliminar y la experiencia en otras comunas del país índica que a partir de una distancia de transporte de aproximadamente 30 km, es aconsejable evaluar la alternativa de una estación de transferencia y el transporte con vehículos especiales (en vez del transporte directo con camión recolector). </w:t>
      </w:r>
    </w:p>
    <w:p w:rsidR="00944856" w:rsidRDefault="00944856" w:rsidP="00944856"/>
    <w:p w:rsidR="00944856" w:rsidRDefault="00944856" w:rsidP="00944856">
      <w:r w:rsidRPr="0040649D">
        <w:t>Dependiendo del método que se utilice para cargar los vehículos especiales de transporte, las estaciones de transferencia se pueden clasificar en tres tipos:</w:t>
      </w:r>
    </w:p>
    <w:p w:rsidR="00944856" w:rsidRPr="0040649D" w:rsidRDefault="00944856" w:rsidP="00944856"/>
    <w:p w:rsidR="00944856" w:rsidRPr="00961DAE" w:rsidRDefault="00944856" w:rsidP="00944856">
      <w:pPr>
        <w:tabs>
          <w:tab w:val="left" w:pos="709"/>
        </w:tabs>
        <w:spacing w:after="120"/>
        <w:rPr>
          <w:szCs w:val="24"/>
          <w:u w:val="single"/>
        </w:rPr>
      </w:pPr>
      <w:r w:rsidRPr="00961DAE">
        <w:rPr>
          <w:szCs w:val="24"/>
          <w:u w:val="single"/>
        </w:rPr>
        <w:t>Estación de transferencia de descarga directa:</w:t>
      </w:r>
    </w:p>
    <w:p w:rsidR="00944856" w:rsidRDefault="00944856" w:rsidP="00944856">
      <w:pPr>
        <w:jc w:val="both"/>
      </w:pPr>
      <w:r w:rsidRPr="00BA31D7">
        <w:t>Los RSU se vacían directamente desde el camión recolector al vehículo que se va a utilizar para el transporte al lugar de disposición final. Estas estaciones de transferencia simples suelen construirse con un arreglo a dos niveles, por ejemplo</w:t>
      </w:r>
      <w:r>
        <w:t>,</w:t>
      </w:r>
      <w:r w:rsidRPr="00BA31D7">
        <w:t xml:space="preserve"> una plataforma elevada para la descarga o una rampa a desnivel para los remolcadores de transporte, debajo de tolvas de descarga.</w:t>
      </w:r>
    </w:p>
    <w:p w:rsidR="00944856" w:rsidRPr="00BA31D7" w:rsidRDefault="00944856" w:rsidP="00944856"/>
    <w:p w:rsidR="00944856" w:rsidRPr="00961DAE" w:rsidRDefault="00944856" w:rsidP="00944856">
      <w:pPr>
        <w:tabs>
          <w:tab w:val="left" w:pos="709"/>
        </w:tabs>
        <w:spacing w:after="120"/>
        <w:rPr>
          <w:szCs w:val="24"/>
          <w:u w:val="single"/>
        </w:rPr>
      </w:pPr>
      <w:r w:rsidRPr="00961DAE">
        <w:rPr>
          <w:szCs w:val="24"/>
          <w:u w:val="single"/>
        </w:rPr>
        <w:t>Estaciones de descarga y almacenamiento:</w:t>
      </w:r>
    </w:p>
    <w:p w:rsidR="00944856" w:rsidRDefault="00944856" w:rsidP="00944856">
      <w:r w:rsidRPr="00BA31D7">
        <w:t xml:space="preserve">Los residuos se vacían en un foso de almacenamiento o en una plataforma desde la cual se cargan los vehículos de transporte por medio de un equipo auxiliar (cargador frontal). El volumen de almacenamiento puede variar desde aproximadamente medio día hasta dos días de </w:t>
      </w:r>
      <w:r>
        <w:t>volumen de RSD.</w:t>
      </w:r>
    </w:p>
    <w:p w:rsidR="00944856" w:rsidRDefault="00944856" w:rsidP="00944856"/>
    <w:p w:rsidR="00944856" w:rsidRPr="00961DAE" w:rsidRDefault="00944856" w:rsidP="00944856">
      <w:pPr>
        <w:tabs>
          <w:tab w:val="left" w:pos="709"/>
        </w:tabs>
        <w:spacing w:after="120"/>
        <w:rPr>
          <w:szCs w:val="24"/>
          <w:u w:val="single"/>
        </w:rPr>
      </w:pPr>
      <w:r w:rsidRPr="00961DAE">
        <w:rPr>
          <w:szCs w:val="24"/>
          <w:u w:val="single"/>
        </w:rPr>
        <w:t>Estaciones con una combinación de descarga directa y descarga con almacenamiento:</w:t>
      </w:r>
    </w:p>
    <w:p w:rsidR="00944856" w:rsidRDefault="00944856" w:rsidP="00944856">
      <w:r w:rsidRPr="00BA31D7">
        <w:t>Por lo general tienen propósitos múltiples, por ejemplo transferencia, recuperación de materiales, reciclaje o tratamiento, y están diseñadas para un mayor número de habitantes servidos.</w:t>
      </w:r>
    </w:p>
    <w:p w:rsidR="00944856" w:rsidRDefault="00944856" w:rsidP="00944856"/>
    <w:tbl>
      <w:tblPr>
        <w:tblStyle w:val="Tablaconcuadrcula"/>
        <w:tblW w:w="0" w:type="auto"/>
        <w:tblLook w:val="04A0" w:firstRow="1" w:lastRow="0" w:firstColumn="1" w:lastColumn="0" w:noHBand="0" w:noVBand="1"/>
      </w:tblPr>
      <w:tblGrid>
        <w:gridCol w:w="8766"/>
      </w:tblGrid>
      <w:tr w:rsidR="00944856" w:rsidTr="002F1A55">
        <w:tc>
          <w:tcPr>
            <w:tcW w:w="8720" w:type="dxa"/>
          </w:tcPr>
          <w:p w:rsidR="00944856" w:rsidRDefault="00944856" w:rsidP="002F1A55">
            <w:r>
              <w:rPr>
                <w:noProof/>
                <w:lang w:val="es-CL" w:eastAsia="es-CL"/>
              </w:rPr>
              <w:drawing>
                <wp:inline distT="0" distB="0" distL="0" distR="0">
                  <wp:extent cx="5400675" cy="3886200"/>
                  <wp:effectExtent l="19050" t="0" r="9525" b="0"/>
                  <wp:docPr id="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400675" cy="3886200"/>
                          </a:xfrm>
                          <a:prstGeom prst="rect">
                            <a:avLst/>
                          </a:prstGeom>
                          <a:noFill/>
                          <a:ln w="9525">
                            <a:noFill/>
                            <a:miter lim="800000"/>
                            <a:headEnd/>
                            <a:tailEnd/>
                          </a:ln>
                        </pic:spPr>
                      </pic:pic>
                    </a:graphicData>
                  </a:graphic>
                </wp:inline>
              </w:drawing>
            </w:r>
          </w:p>
        </w:tc>
      </w:tr>
    </w:tbl>
    <w:p w:rsidR="00944856" w:rsidRDefault="00944856" w:rsidP="00944856">
      <w:pPr>
        <w:pStyle w:val="Epgrafe"/>
        <w:spacing w:after="0"/>
        <w:ind w:firstLine="357"/>
        <w:jc w:val="center"/>
      </w:pPr>
      <w:r>
        <w:t xml:space="preserve">Ilustración </w:t>
      </w:r>
      <w:r w:rsidR="00E733CF">
        <w:fldChar w:fldCharType="begin"/>
      </w:r>
      <w:r w:rsidR="00E733CF">
        <w:instrText xml:space="preserve"> STYLEREF 1 \s </w:instrText>
      </w:r>
      <w:r w:rsidR="00E733CF">
        <w:fldChar w:fldCharType="separate"/>
      </w:r>
      <w:r>
        <w:rPr>
          <w:noProof/>
        </w:rPr>
        <w:t>2</w:t>
      </w:r>
      <w:r w:rsidR="00E733CF">
        <w:rPr>
          <w:noProof/>
        </w:rPr>
        <w:fldChar w:fldCharType="end"/>
      </w:r>
      <w:r>
        <w:noBreakHyphen/>
      </w:r>
      <w:r w:rsidR="00E733CF">
        <w:fldChar w:fldCharType="begin"/>
      </w:r>
      <w:r w:rsidR="00E733CF">
        <w:instrText xml:space="preserve"> SEQ Ilustración \* ARABIC \s 1 </w:instrText>
      </w:r>
      <w:r w:rsidR="00E733CF">
        <w:fldChar w:fldCharType="separate"/>
      </w:r>
      <w:r>
        <w:rPr>
          <w:noProof/>
        </w:rPr>
        <w:t>5</w:t>
      </w:r>
      <w:r w:rsidR="00E733CF">
        <w:rPr>
          <w:noProof/>
        </w:rPr>
        <w:fldChar w:fldCharType="end"/>
      </w:r>
      <w:r>
        <w:t xml:space="preserve"> Estaciones de transferencia simples.</w:t>
      </w:r>
    </w:p>
    <w:p w:rsidR="00944856" w:rsidRDefault="00944856" w:rsidP="00944856"/>
    <w:p w:rsidR="00944856" w:rsidRDefault="00944856" w:rsidP="00944856">
      <w:r w:rsidRPr="0040649D">
        <w:lastRenderedPageBreak/>
        <w:t>Cuando las cantidades de RS</w:t>
      </w:r>
      <w:r>
        <w:t>D</w:t>
      </w:r>
      <w:r w:rsidRPr="0040649D">
        <w:t xml:space="preserve"> son bajas, la estación de transferencia no necesariamente resulta econ</w:t>
      </w:r>
      <w:r>
        <w:t>ómica</w:t>
      </w:r>
      <w:r w:rsidRPr="0040649D">
        <w:t>, y/o implicaría el almacenamiento de l</w:t>
      </w:r>
      <w:r>
        <w:t xml:space="preserve">os RSD sobre varios días con los </w:t>
      </w:r>
      <w:r w:rsidRPr="0040649D">
        <w:t>problemas higiénicos y estéticos asociados. Basado en la c</w:t>
      </w:r>
      <w:r>
        <w:t>apacidad de un remolcador de 10 t</w:t>
      </w:r>
      <w:r w:rsidRPr="00961DAE">
        <w:t>,</w:t>
      </w:r>
      <w:r w:rsidRPr="0040649D">
        <w:t xml:space="preserve"> el tamaño mínimo se ha estimado en 10.000 ha</w:t>
      </w:r>
      <w:r>
        <w:t>bitantes servidos</w:t>
      </w:r>
      <w:r w:rsidRPr="0040649D">
        <w:t xml:space="preserve">. </w:t>
      </w:r>
    </w:p>
    <w:p w:rsidR="00944856" w:rsidRPr="00BA31D7" w:rsidRDefault="00944856" w:rsidP="00944856"/>
    <w:p w:rsidR="00944856" w:rsidRPr="00AE631D" w:rsidRDefault="00944856" w:rsidP="00944856">
      <w:pPr>
        <w:pStyle w:val="ANEXOS"/>
        <w:numPr>
          <w:ilvl w:val="1"/>
          <w:numId w:val="18"/>
        </w:numPr>
        <w:jc w:val="left"/>
      </w:pPr>
      <w:bookmarkStart w:id="54" w:name="_Toc405010399"/>
      <w:bookmarkStart w:id="55" w:name="_Toc405237641"/>
      <w:r w:rsidRPr="00AE631D">
        <w:t>Vehículos de Transporte</w:t>
      </w:r>
      <w:bookmarkEnd w:id="54"/>
      <w:bookmarkEnd w:id="55"/>
    </w:p>
    <w:p w:rsidR="00944856" w:rsidRDefault="00944856" w:rsidP="00944856">
      <w:pPr>
        <w:jc w:val="both"/>
      </w:pPr>
      <w:r w:rsidRPr="0040649D">
        <w:t>Los camiones utilizados para el transporte de distancia de RSD disponen de un mayor volumen de carga y/o de sistemas de compactación. Dependiendo de la clase de peso (tara y peso total), alcanzan cargas útiles de entre 20 y 25 toneladas, con volúmenes de hasta 70 m</w:t>
      </w:r>
      <w:r w:rsidRPr="0040649D">
        <w:rPr>
          <w:vertAlign w:val="superscript"/>
        </w:rPr>
        <w:t>3</w:t>
      </w:r>
      <w:r w:rsidRPr="0040649D">
        <w:t xml:space="preserve"> (camión y acoplado, con dos contenedores de 35 m</w:t>
      </w:r>
      <w:r w:rsidRPr="0040649D">
        <w:rPr>
          <w:vertAlign w:val="superscript"/>
        </w:rPr>
        <w:t>3</w:t>
      </w:r>
      <w:r w:rsidRPr="0040649D">
        <w:t xml:space="preserve"> c/u). Se distinguen los siguientes tipos de vehículos de transporte:</w:t>
      </w:r>
    </w:p>
    <w:p w:rsidR="00944856" w:rsidRPr="0040649D" w:rsidRDefault="00944856" w:rsidP="00944856">
      <w:pPr>
        <w:jc w:val="both"/>
      </w:pPr>
    </w:p>
    <w:p w:rsidR="00944856" w:rsidRPr="004028C9" w:rsidRDefault="00944856" w:rsidP="00944856">
      <w:pPr>
        <w:tabs>
          <w:tab w:val="left" w:pos="709"/>
        </w:tabs>
        <w:spacing w:after="120"/>
        <w:rPr>
          <w:szCs w:val="24"/>
          <w:u w:val="single"/>
        </w:rPr>
      </w:pPr>
      <w:r w:rsidRPr="004028C9">
        <w:rPr>
          <w:szCs w:val="24"/>
          <w:u w:val="single"/>
        </w:rPr>
        <w:t>Remolques y semirremolques:</w:t>
      </w:r>
    </w:p>
    <w:p w:rsidR="00944856" w:rsidRDefault="00944856" w:rsidP="00944856">
      <w:pPr>
        <w:tabs>
          <w:tab w:val="left" w:pos="709"/>
        </w:tabs>
        <w:jc w:val="both"/>
        <w:rPr>
          <w:szCs w:val="24"/>
        </w:rPr>
      </w:pPr>
      <w:r w:rsidRPr="0040649D">
        <w:rPr>
          <w:szCs w:val="24"/>
        </w:rPr>
        <w:t>El método más simple consiste en un camión con remolq</w:t>
      </w:r>
      <w:r>
        <w:rPr>
          <w:szCs w:val="24"/>
        </w:rPr>
        <w:t xml:space="preserve">ue sin sistema de compactación. </w:t>
      </w:r>
      <w:r w:rsidRPr="0040649D">
        <w:rPr>
          <w:szCs w:val="24"/>
        </w:rPr>
        <w:t>En Europa y EE.UU. frecuentemente se usan vehículos semiremolques con superestructuras desmontables. Algunos remolques están equipados con fosos (o control de derrames) para recolectar cualquier líquido que se acumule de los residuos.</w:t>
      </w:r>
    </w:p>
    <w:p w:rsidR="00944856" w:rsidRDefault="00944856" w:rsidP="00944856">
      <w:pPr>
        <w:tabs>
          <w:tab w:val="left" w:pos="709"/>
        </w:tabs>
        <w:rPr>
          <w:szCs w:val="24"/>
        </w:rPr>
      </w:pPr>
    </w:p>
    <w:p w:rsidR="00944856" w:rsidRPr="004028C9" w:rsidRDefault="00944856" w:rsidP="00944856">
      <w:pPr>
        <w:tabs>
          <w:tab w:val="left" w:pos="709"/>
        </w:tabs>
        <w:spacing w:after="120"/>
        <w:rPr>
          <w:szCs w:val="24"/>
          <w:u w:val="single"/>
        </w:rPr>
      </w:pPr>
      <w:r w:rsidRPr="004028C9">
        <w:rPr>
          <w:szCs w:val="24"/>
          <w:u w:val="single"/>
        </w:rPr>
        <w:t>Compactadores:</w:t>
      </w:r>
    </w:p>
    <w:p w:rsidR="00944856" w:rsidRPr="0040649D" w:rsidRDefault="00944856" w:rsidP="00944856">
      <w:pPr>
        <w:tabs>
          <w:tab w:val="left" w:pos="709"/>
        </w:tabs>
        <w:jc w:val="both"/>
        <w:rPr>
          <w:szCs w:val="24"/>
        </w:rPr>
      </w:pPr>
      <w:r w:rsidRPr="0040649D">
        <w:rPr>
          <w:szCs w:val="24"/>
        </w:rPr>
        <w:t>Se refiere a compactadores estacionarios o mecanismos compactadores que forman parte integral del recipiente (camión, remolq</w:t>
      </w:r>
      <w:r>
        <w:rPr>
          <w:szCs w:val="24"/>
        </w:rPr>
        <w:t>ue o contenedor). Dentro de los contenedores se cuentan los con compactación móvil o estacionario.</w:t>
      </w:r>
    </w:p>
    <w:p w:rsidR="00944856" w:rsidRDefault="00944856" w:rsidP="00944856">
      <w:pPr>
        <w:pStyle w:val="Vietanmero"/>
        <w:spacing w:after="120" w:line="276" w:lineRule="auto"/>
        <w:rPr>
          <w:rFonts w:ascii="Times New Roman" w:hAnsi="Times New Roman" w:cs="Times New Roman"/>
          <w:sz w:val="24"/>
          <w:szCs w:val="24"/>
          <w:u w:val="single"/>
          <w:lang w:val="es-ES_tradnl"/>
        </w:rPr>
      </w:pPr>
    </w:p>
    <w:p w:rsidR="00944856" w:rsidRPr="004028C9" w:rsidRDefault="00944856" w:rsidP="00944856">
      <w:pPr>
        <w:pStyle w:val="Vietanmero"/>
        <w:spacing w:after="120" w:line="276" w:lineRule="auto"/>
        <w:rPr>
          <w:rFonts w:ascii="Times New Roman" w:hAnsi="Times New Roman" w:cs="Times New Roman"/>
          <w:sz w:val="24"/>
          <w:szCs w:val="24"/>
          <w:u w:val="single"/>
          <w:lang w:val="es-ES_tradnl"/>
        </w:rPr>
      </w:pPr>
      <w:r w:rsidRPr="004028C9">
        <w:rPr>
          <w:rFonts w:ascii="Times New Roman" w:hAnsi="Times New Roman" w:cs="Times New Roman"/>
          <w:sz w:val="24"/>
          <w:szCs w:val="24"/>
          <w:u w:val="single"/>
          <w:lang w:val="es-ES_tradnl"/>
        </w:rPr>
        <w:t>Otros:</w:t>
      </w:r>
    </w:p>
    <w:p w:rsidR="00944856" w:rsidRPr="0040649D" w:rsidRDefault="00944856" w:rsidP="00944856">
      <w:pPr>
        <w:pStyle w:val="Vietanmero"/>
        <w:spacing w:after="240" w:line="276" w:lineRule="auto"/>
        <w:ind w:left="0" w:firstLine="0"/>
        <w:rPr>
          <w:rFonts w:ascii="Times New Roman" w:hAnsi="Times New Roman" w:cs="Times New Roman"/>
          <w:sz w:val="24"/>
          <w:szCs w:val="24"/>
          <w:lang w:val="es-ES_tradnl"/>
        </w:rPr>
      </w:pPr>
      <w:r w:rsidRPr="0040649D">
        <w:rPr>
          <w:rFonts w:ascii="Times New Roman" w:hAnsi="Times New Roman" w:cs="Times New Roman"/>
          <w:sz w:val="24"/>
          <w:szCs w:val="24"/>
          <w:lang w:val="es-ES_tradnl"/>
        </w:rPr>
        <w:t>Otros vehículos o contenedores de transporte incluyen:</w:t>
      </w:r>
    </w:p>
    <w:p w:rsidR="00944856" w:rsidRPr="0040649D" w:rsidRDefault="00944856" w:rsidP="00944856">
      <w:pPr>
        <w:numPr>
          <w:ilvl w:val="0"/>
          <w:numId w:val="25"/>
        </w:numPr>
        <w:tabs>
          <w:tab w:val="clear" w:pos="360"/>
          <w:tab w:val="num" w:pos="720"/>
        </w:tabs>
        <w:spacing w:line="276" w:lineRule="auto"/>
        <w:ind w:left="720"/>
        <w:jc w:val="both"/>
        <w:rPr>
          <w:szCs w:val="24"/>
        </w:rPr>
      </w:pPr>
      <w:r w:rsidRPr="0040649D">
        <w:rPr>
          <w:szCs w:val="24"/>
        </w:rPr>
        <w:t>Contenedores sin compactación; solidarios al chasis</w:t>
      </w:r>
    </w:p>
    <w:p w:rsidR="00944856" w:rsidRPr="0040649D" w:rsidRDefault="00944856" w:rsidP="00944856">
      <w:pPr>
        <w:numPr>
          <w:ilvl w:val="0"/>
          <w:numId w:val="25"/>
        </w:numPr>
        <w:tabs>
          <w:tab w:val="clear" w:pos="360"/>
          <w:tab w:val="num" w:pos="720"/>
        </w:tabs>
        <w:spacing w:after="200" w:line="276" w:lineRule="auto"/>
        <w:ind w:left="720"/>
        <w:jc w:val="both"/>
        <w:rPr>
          <w:szCs w:val="24"/>
        </w:rPr>
      </w:pPr>
      <w:r w:rsidRPr="0040649D">
        <w:rPr>
          <w:szCs w:val="24"/>
        </w:rPr>
        <w:t>Camiones tipo “WalkingFloor”;</w:t>
      </w:r>
    </w:p>
    <w:p w:rsidR="00944856" w:rsidRPr="0040649D" w:rsidRDefault="00944856" w:rsidP="00944856">
      <w:pPr>
        <w:jc w:val="both"/>
        <w:rPr>
          <w:spacing w:val="-3"/>
        </w:rPr>
      </w:pPr>
      <w:r w:rsidRPr="0040649D">
        <w:t>El tipo de camión más apropiado para una comuna mediana o peque</w:t>
      </w:r>
      <w:r w:rsidRPr="0040649D">
        <w:rPr>
          <w:spacing w:val="-3"/>
        </w:rPr>
        <w:t>ño suele ser multi-uso, por ej. Camión de remolque con sistema ampliroll (“hook-lift”).</w:t>
      </w:r>
    </w:p>
    <w:p w:rsidR="00944856" w:rsidRDefault="00944856" w:rsidP="00944856"/>
    <w:tbl>
      <w:tblPr>
        <w:tblStyle w:val="Tablaconcuadrcula"/>
        <w:tblW w:w="0" w:type="auto"/>
        <w:tblLook w:val="04A0" w:firstRow="1" w:lastRow="0" w:firstColumn="1" w:lastColumn="0" w:noHBand="0" w:noVBand="1"/>
      </w:tblPr>
      <w:tblGrid>
        <w:gridCol w:w="8644"/>
      </w:tblGrid>
      <w:tr w:rsidR="00944856" w:rsidTr="002F1A55">
        <w:trPr>
          <w:trHeight w:val="9951"/>
        </w:trPr>
        <w:tc>
          <w:tcPr>
            <w:tcW w:w="8644" w:type="dxa"/>
          </w:tcPr>
          <w:p w:rsidR="00944856" w:rsidRDefault="00944856" w:rsidP="002F1A55">
            <w:pPr>
              <w:jc w:val="center"/>
            </w:pPr>
            <w:r>
              <w:rPr>
                <w:noProof/>
                <w:lang w:val="es-CL" w:eastAsia="es-CL"/>
              </w:rPr>
              <w:lastRenderedPageBreak/>
              <w:drawing>
                <wp:inline distT="0" distB="0" distL="0" distR="0">
                  <wp:extent cx="4486275" cy="6115298"/>
                  <wp:effectExtent l="19050" t="0" r="9525" b="0"/>
                  <wp:docPr id="2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4493275" cy="6124840"/>
                          </a:xfrm>
                          <a:prstGeom prst="rect">
                            <a:avLst/>
                          </a:prstGeom>
                          <a:noFill/>
                          <a:ln w="9525">
                            <a:noFill/>
                            <a:miter lim="800000"/>
                            <a:headEnd/>
                            <a:tailEnd/>
                          </a:ln>
                        </pic:spPr>
                      </pic:pic>
                    </a:graphicData>
                  </a:graphic>
                </wp:inline>
              </w:drawing>
            </w:r>
          </w:p>
        </w:tc>
      </w:tr>
    </w:tbl>
    <w:p w:rsidR="00944856" w:rsidRDefault="00944856" w:rsidP="00944856">
      <w:pPr>
        <w:pStyle w:val="Epgrafe"/>
        <w:spacing w:after="0"/>
        <w:ind w:firstLine="357"/>
        <w:jc w:val="center"/>
      </w:pPr>
      <w:r>
        <w:t xml:space="preserve">Ilustración </w:t>
      </w:r>
      <w:r w:rsidR="00E733CF">
        <w:fldChar w:fldCharType="begin"/>
      </w:r>
      <w:r w:rsidR="00E733CF">
        <w:instrText xml:space="preserve"> STYLEREF 1 \s </w:instrText>
      </w:r>
      <w:r w:rsidR="00E733CF">
        <w:fldChar w:fldCharType="separate"/>
      </w:r>
      <w:r>
        <w:rPr>
          <w:noProof/>
        </w:rPr>
        <w:t>2</w:t>
      </w:r>
      <w:r w:rsidR="00E733CF">
        <w:rPr>
          <w:noProof/>
        </w:rPr>
        <w:fldChar w:fldCharType="end"/>
      </w:r>
      <w:r>
        <w:noBreakHyphen/>
      </w:r>
      <w:r w:rsidR="00E733CF">
        <w:fldChar w:fldCharType="begin"/>
      </w:r>
      <w:r w:rsidR="00E733CF">
        <w:instrText xml:space="preserve"> SEQ Ilustración \* ARABIC \s </w:instrText>
      </w:r>
      <w:r w:rsidR="00E733CF">
        <w:instrText xml:space="preserve">1 </w:instrText>
      </w:r>
      <w:r w:rsidR="00E733CF">
        <w:fldChar w:fldCharType="separate"/>
      </w:r>
      <w:r>
        <w:rPr>
          <w:noProof/>
        </w:rPr>
        <w:t>6</w:t>
      </w:r>
      <w:r w:rsidR="00E733CF">
        <w:rPr>
          <w:noProof/>
        </w:rPr>
        <w:fldChar w:fldCharType="end"/>
      </w:r>
      <w:r>
        <w:t xml:space="preserve"> Camiones de transporte</w:t>
      </w:r>
    </w:p>
    <w:p w:rsidR="00944856" w:rsidRDefault="00944856" w:rsidP="00944856">
      <w:pPr>
        <w:pStyle w:val="Prrafodelista"/>
        <w:spacing w:before="200" w:after="120"/>
        <w:ind w:left="0"/>
        <w:rPr>
          <w:rFonts w:eastAsia="Times New Roman"/>
          <w:i/>
          <w:szCs w:val="24"/>
        </w:rPr>
      </w:pPr>
    </w:p>
    <w:p w:rsidR="00944856" w:rsidRPr="00B31905" w:rsidRDefault="00944856" w:rsidP="00944856">
      <w:pPr>
        <w:pStyle w:val="Prrafodelista"/>
        <w:spacing w:before="200" w:after="120"/>
        <w:ind w:left="0"/>
        <w:rPr>
          <w:rFonts w:eastAsia="Times New Roman"/>
          <w:i/>
          <w:szCs w:val="24"/>
        </w:rPr>
      </w:pPr>
      <w:r w:rsidRPr="00B31905">
        <w:rPr>
          <w:rFonts w:eastAsia="Times New Roman"/>
          <w:i/>
          <w:szCs w:val="24"/>
        </w:rPr>
        <w:t xml:space="preserve">Ventajas y desventajas de su incorporación </w:t>
      </w:r>
    </w:p>
    <w:p w:rsidR="00944856" w:rsidRPr="0040649D" w:rsidRDefault="00944856" w:rsidP="00944856">
      <w:pPr>
        <w:numPr>
          <w:ilvl w:val="0"/>
          <w:numId w:val="22"/>
        </w:numPr>
        <w:tabs>
          <w:tab w:val="left" w:pos="-720"/>
        </w:tabs>
        <w:suppressAutoHyphens/>
        <w:spacing w:line="276" w:lineRule="auto"/>
        <w:ind w:left="721"/>
        <w:jc w:val="both"/>
        <w:rPr>
          <w:spacing w:val="-3"/>
          <w:szCs w:val="24"/>
        </w:rPr>
      </w:pPr>
      <w:r w:rsidRPr="0040649D">
        <w:rPr>
          <w:spacing w:val="-3"/>
          <w:szCs w:val="24"/>
        </w:rPr>
        <w:t>Tecnologí</w:t>
      </w:r>
      <w:r>
        <w:rPr>
          <w:spacing w:val="-3"/>
          <w:szCs w:val="24"/>
        </w:rPr>
        <w:t>a simple.</w:t>
      </w:r>
    </w:p>
    <w:p w:rsidR="00944856" w:rsidRPr="0040649D" w:rsidRDefault="00944856" w:rsidP="00944856">
      <w:pPr>
        <w:numPr>
          <w:ilvl w:val="0"/>
          <w:numId w:val="22"/>
        </w:numPr>
        <w:tabs>
          <w:tab w:val="left" w:pos="-720"/>
        </w:tabs>
        <w:suppressAutoHyphens/>
        <w:spacing w:line="276" w:lineRule="auto"/>
        <w:ind w:left="721"/>
        <w:jc w:val="both"/>
        <w:rPr>
          <w:spacing w:val="-3"/>
          <w:szCs w:val="24"/>
        </w:rPr>
      </w:pPr>
      <w:r w:rsidRPr="0040649D">
        <w:rPr>
          <w:spacing w:val="-3"/>
          <w:szCs w:val="24"/>
        </w:rPr>
        <w:t>Costo de inversión mediano a bajo</w:t>
      </w:r>
      <w:r>
        <w:rPr>
          <w:spacing w:val="-3"/>
          <w:szCs w:val="24"/>
        </w:rPr>
        <w:t>.</w:t>
      </w:r>
    </w:p>
    <w:p w:rsidR="00944856" w:rsidRPr="0040649D" w:rsidRDefault="00944856" w:rsidP="00944856">
      <w:pPr>
        <w:numPr>
          <w:ilvl w:val="0"/>
          <w:numId w:val="22"/>
        </w:numPr>
        <w:tabs>
          <w:tab w:val="left" w:pos="-720"/>
        </w:tabs>
        <w:suppressAutoHyphens/>
        <w:spacing w:line="276" w:lineRule="auto"/>
        <w:ind w:left="721"/>
        <w:jc w:val="both"/>
        <w:rPr>
          <w:spacing w:val="-3"/>
          <w:szCs w:val="24"/>
        </w:rPr>
      </w:pPr>
      <w:r w:rsidRPr="0040649D">
        <w:rPr>
          <w:spacing w:val="-3"/>
          <w:szCs w:val="24"/>
        </w:rPr>
        <w:t>Menor dependencia de proveedores individuales de servicios de disposición</w:t>
      </w:r>
      <w:r>
        <w:rPr>
          <w:spacing w:val="-3"/>
          <w:szCs w:val="24"/>
        </w:rPr>
        <w:t>.</w:t>
      </w:r>
    </w:p>
    <w:p w:rsidR="00944856" w:rsidRPr="0040649D" w:rsidRDefault="00944856" w:rsidP="00944856">
      <w:pPr>
        <w:numPr>
          <w:ilvl w:val="0"/>
          <w:numId w:val="22"/>
        </w:numPr>
        <w:tabs>
          <w:tab w:val="left" w:pos="-720"/>
        </w:tabs>
        <w:suppressAutoHyphens/>
        <w:spacing w:line="276" w:lineRule="auto"/>
        <w:ind w:left="721"/>
        <w:jc w:val="both"/>
        <w:rPr>
          <w:spacing w:val="-3"/>
          <w:szCs w:val="24"/>
        </w:rPr>
      </w:pPr>
      <w:r w:rsidRPr="0040649D">
        <w:rPr>
          <w:spacing w:val="-3"/>
          <w:szCs w:val="24"/>
        </w:rPr>
        <w:t>Factibilidad de compartir infraestructura básica con otras instalaciones (planta de compostaje, tratamiento mecánico-biológico, lugares de acopio de residuos reciclables, clasificación)</w:t>
      </w:r>
      <w:r>
        <w:rPr>
          <w:spacing w:val="-3"/>
          <w:szCs w:val="24"/>
        </w:rPr>
        <w:t>.</w:t>
      </w:r>
    </w:p>
    <w:p w:rsidR="00944856" w:rsidRPr="0040649D" w:rsidRDefault="00944856" w:rsidP="00944856">
      <w:pPr>
        <w:numPr>
          <w:ilvl w:val="0"/>
          <w:numId w:val="23"/>
        </w:numPr>
        <w:tabs>
          <w:tab w:val="left" w:pos="-720"/>
          <w:tab w:val="left" w:pos="709"/>
        </w:tabs>
        <w:suppressAutoHyphens/>
        <w:spacing w:line="276" w:lineRule="auto"/>
        <w:ind w:left="720"/>
        <w:jc w:val="both"/>
        <w:rPr>
          <w:spacing w:val="-3"/>
          <w:szCs w:val="24"/>
        </w:rPr>
      </w:pPr>
      <w:r w:rsidRPr="0040649D">
        <w:rPr>
          <w:spacing w:val="-3"/>
          <w:szCs w:val="24"/>
        </w:rPr>
        <w:t>Costo fijo de inversión y operación de la estación de transferencia (solo se justifica a partir de cierta distancia de transporte y/o tamaño de operación)</w:t>
      </w:r>
      <w:r>
        <w:rPr>
          <w:spacing w:val="-3"/>
          <w:szCs w:val="24"/>
        </w:rPr>
        <w:t>.</w:t>
      </w:r>
    </w:p>
    <w:p w:rsidR="00944856" w:rsidRPr="0040649D" w:rsidRDefault="00944856" w:rsidP="00944856">
      <w:pPr>
        <w:numPr>
          <w:ilvl w:val="0"/>
          <w:numId w:val="23"/>
        </w:numPr>
        <w:tabs>
          <w:tab w:val="left" w:pos="-720"/>
          <w:tab w:val="left" w:pos="709"/>
        </w:tabs>
        <w:suppressAutoHyphens/>
        <w:spacing w:line="276" w:lineRule="auto"/>
        <w:ind w:left="720"/>
        <w:jc w:val="both"/>
        <w:rPr>
          <w:spacing w:val="-3"/>
          <w:szCs w:val="24"/>
        </w:rPr>
      </w:pPr>
      <w:r w:rsidRPr="0040649D">
        <w:rPr>
          <w:spacing w:val="-3"/>
          <w:szCs w:val="24"/>
        </w:rPr>
        <w:t>Requerimiento de vehí</w:t>
      </w:r>
      <w:r>
        <w:rPr>
          <w:spacing w:val="-3"/>
          <w:szCs w:val="24"/>
        </w:rPr>
        <w:t>culos adicionales de transporte.</w:t>
      </w:r>
    </w:p>
    <w:p w:rsidR="00944856" w:rsidRPr="00207A2B" w:rsidRDefault="00944856" w:rsidP="00944856">
      <w:pPr>
        <w:numPr>
          <w:ilvl w:val="0"/>
          <w:numId w:val="23"/>
        </w:numPr>
        <w:tabs>
          <w:tab w:val="left" w:pos="-720"/>
          <w:tab w:val="left" w:pos="709"/>
        </w:tabs>
        <w:suppressAutoHyphens/>
        <w:spacing w:after="200" w:line="276" w:lineRule="auto"/>
        <w:ind w:left="720"/>
        <w:jc w:val="both"/>
        <w:rPr>
          <w:spacing w:val="-3"/>
          <w:szCs w:val="24"/>
        </w:rPr>
      </w:pPr>
      <w:r w:rsidRPr="0040649D">
        <w:rPr>
          <w:spacing w:val="-3"/>
          <w:szCs w:val="24"/>
        </w:rPr>
        <w:lastRenderedPageBreak/>
        <w:t>Potencial de molestia para el entorno (relativamente bajo en zonas rurales)</w:t>
      </w:r>
      <w:r>
        <w:rPr>
          <w:spacing w:val="-3"/>
          <w:szCs w:val="24"/>
        </w:rPr>
        <w:t>.</w:t>
      </w:r>
    </w:p>
    <w:p w:rsidR="00944856" w:rsidRPr="009E7FC3" w:rsidRDefault="00944856" w:rsidP="00944856">
      <w:pPr>
        <w:pStyle w:val="Prrafodelista"/>
        <w:spacing w:after="120"/>
        <w:ind w:left="0"/>
        <w:rPr>
          <w:rFonts w:eastAsia="Times New Roman"/>
          <w:i/>
          <w:szCs w:val="24"/>
        </w:rPr>
      </w:pPr>
    </w:p>
    <w:p w:rsidR="00944856" w:rsidRPr="00B31905" w:rsidRDefault="00944856" w:rsidP="00944856">
      <w:pPr>
        <w:pStyle w:val="Prrafodelista"/>
        <w:spacing w:after="120"/>
        <w:ind w:left="0"/>
        <w:rPr>
          <w:rFonts w:eastAsia="Times New Roman"/>
          <w:i/>
          <w:szCs w:val="24"/>
        </w:rPr>
      </w:pPr>
      <w:r w:rsidRPr="00B31905">
        <w:rPr>
          <w:rFonts w:eastAsia="Times New Roman"/>
          <w:i/>
          <w:szCs w:val="24"/>
        </w:rPr>
        <w:t>Factibilidad de implementación</w:t>
      </w:r>
    </w:p>
    <w:p w:rsidR="00944856" w:rsidRPr="0040649D" w:rsidRDefault="00944856" w:rsidP="00944856">
      <w:pPr>
        <w:jc w:val="both"/>
      </w:pPr>
      <w:r w:rsidRPr="0040649D">
        <w:t>En el caso de las comunas medianas y peque</w:t>
      </w:r>
      <w:r w:rsidRPr="0040649D">
        <w:rPr>
          <w:spacing w:val="-3"/>
        </w:rPr>
        <w:t>ñas</w:t>
      </w:r>
      <w:r w:rsidRPr="0040649D">
        <w:t xml:space="preserve"> el flujo de vehículos de recolección de entre 2 – 5 camiones por día no presenta una limitante para el funcionamiento de la estación de transferencia; debe haber espacio suficiente para la espera de uno o dos camiones recolectores. </w:t>
      </w:r>
    </w:p>
    <w:p w:rsidR="00944856" w:rsidRDefault="00944856" w:rsidP="00944856">
      <w:pPr>
        <w:jc w:val="both"/>
      </w:pPr>
      <w:r w:rsidRPr="0040649D">
        <w:t xml:space="preserve">En el caso de las comunas o asociaciones municipales grandes es necesario verificar la factibilidad de instalación en sectores urbanos (de uso industrial exclusivo) o rurales, en la cercanía de </w:t>
      </w:r>
      <w:r>
        <w:t>las principales vías de acceso.</w:t>
      </w:r>
    </w:p>
    <w:p w:rsidR="00944856" w:rsidRPr="0040649D" w:rsidRDefault="00944856" w:rsidP="00944856">
      <w:pPr>
        <w:jc w:val="both"/>
      </w:pPr>
      <w:r w:rsidRPr="0040649D">
        <w:t xml:space="preserve">En las zonas rurales no existen mayores restricciones para el emplazamiento de las instalaciones, ni tampoco un potencial significativo de molestia para su entorno; incluso sería factible considerar los actuales sitios de vertederos municipales como lugares futuros de emplazamiento. </w:t>
      </w:r>
    </w:p>
    <w:p w:rsidR="00944856" w:rsidRDefault="00944856" w:rsidP="00944856">
      <w:pPr>
        <w:jc w:val="both"/>
      </w:pPr>
      <w:r w:rsidRPr="0040649D">
        <w:t>Finalmente, se recomienda considerar superficies para expansiones o desarrollo de instalaciones complementarias o (patio de acopio, planta de compostaje y/o tratamiento mecánico-biológico).</w:t>
      </w:r>
    </w:p>
    <w:p w:rsidR="00944856" w:rsidRDefault="00944856" w:rsidP="00944856">
      <w:pPr>
        <w:jc w:val="both"/>
      </w:pPr>
    </w:p>
    <w:p w:rsidR="00944856" w:rsidRDefault="00944856" w:rsidP="00944856">
      <w:pPr>
        <w:jc w:val="both"/>
      </w:pPr>
    </w:p>
    <w:p w:rsidR="00944856" w:rsidRDefault="00944856" w:rsidP="00944856">
      <w:pPr>
        <w:pStyle w:val="ANEXOS"/>
        <w:numPr>
          <w:ilvl w:val="0"/>
          <w:numId w:val="18"/>
        </w:numPr>
        <w:jc w:val="left"/>
      </w:pPr>
      <w:bookmarkStart w:id="56" w:name="_Toc405010411"/>
      <w:bookmarkStart w:id="57" w:name="_Toc405237642"/>
      <w:r w:rsidRPr="0040649D">
        <w:t>Fermentación (Tratamiento Anaeróbico)</w:t>
      </w:r>
      <w:bookmarkEnd w:id="56"/>
      <w:r>
        <w:t>; Biometanización</w:t>
      </w:r>
      <w:bookmarkEnd w:id="57"/>
    </w:p>
    <w:p w:rsidR="00944856" w:rsidRPr="0040649D" w:rsidRDefault="00944856" w:rsidP="00944856">
      <w:r w:rsidRPr="0040649D">
        <w:t xml:space="preserve">Los procesos de fermentación anaeróbica, que se utilizan para la producción de metano </w:t>
      </w:r>
      <w:r>
        <w:t xml:space="preserve">(“biogás”) </w:t>
      </w:r>
      <w:r w:rsidRPr="0040649D">
        <w:t>a partir de residuos sólidos, generalmente incluyen tres etapas básicas:</w:t>
      </w:r>
    </w:p>
    <w:p w:rsidR="00944856" w:rsidRDefault="00944856" w:rsidP="00944856">
      <w:pPr>
        <w:numPr>
          <w:ilvl w:val="0"/>
          <w:numId w:val="28"/>
        </w:numPr>
        <w:tabs>
          <w:tab w:val="left" w:pos="709"/>
        </w:tabs>
        <w:spacing w:before="120" w:line="276" w:lineRule="auto"/>
        <w:jc w:val="both"/>
        <w:rPr>
          <w:szCs w:val="24"/>
        </w:rPr>
      </w:pPr>
      <w:r w:rsidRPr="0040649D">
        <w:rPr>
          <w:szCs w:val="24"/>
        </w:rPr>
        <w:t>preparación de la fracción orgánica de los residuos sólidos para su digestión anaeróbica (recepción, clasificación, separación y reducción de tamaño);</w:t>
      </w:r>
    </w:p>
    <w:p w:rsidR="00944856" w:rsidRDefault="00944856" w:rsidP="00944856">
      <w:pPr>
        <w:numPr>
          <w:ilvl w:val="0"/>
          <w:numId w:val="28"/>
        </w:numPr>
        <w:tabs>
          <w:tab w:val="left" w:pos="709"/>
        </w:tabs>
        <w:spacing w:before="120" w:line="276" w:lineRule="auto"/>
        <w:jc w:val="both"/>
        <w:rPr>
          <w:szCs w:val="24"/>
        </w:rPr>
      </w:pPr>
      <w:r w:rsidRPr="004F1B40">
        <w:rPr>
          <w:szCs w:val="24"/>
        </w:rPr>
        <w:t>fermentación en un reactor durante un período de 8 a 15 días, y a una temperatura de 50 a 60 ºC. adición de humedad y nutrientes a la mezcla, el ajuste del pH, el calentamiento del precipitado y</w:t>
      </w:r>
    </w:p>
    <w:p w:rsidR="00944856" w:rsidRPr="005D5D39" w:rsidRDefault="00944856" w:rsidP="00944856">
      <w:pPr>
        <w:numPr>
          <w:ilvl w:val="0"/>
          <w:numId w:val="28"/>
        </w:numPr>
        <w:tabs>
          <w:tab w:val="left" w:pos="709"/>
        </w:tabs>
        <w:spacing w:before="120" w:after="200" w:line="276" w:lineRule="auto"/>
        <w:jc w:val="both"/>
        <w:rPr>
          <w:szCs w:val="24"/>
        </w:rPr>
      </w:pPr>
      <w:r w:rsidRPr="004F1B40">
        <w:rPr>
          <w:szCs w:val="24"/>
        </w:rPr>
        <w:t xml:space="preserve">captura, almacenamiento y purificación de los componentes gaseosos generados durante el proceso de digestión. </w:t>
      </w:r>
    </w:p>
    <w:p w:rsidR="00944856" w:rsidRDefault="00944856" w:rsidP="00944856">
      <w:pPr>
        <w:jc w:val="both"/>
      </w:pPr>
      <w:r>
        <w:t>El metano captado</w:t>
      </w:r>
      <w:r w:rsidRPr="0040649D">
        <w:t xml:space="preserve"> puede ser usado para la producción de energía. La colocación final del precipitado digerido es una tarea adicional a realizar. </w:t>
      </w:r>
    </w:p>
    <w:p w:rsidR="00944856" w:rsidRDefault="00944856" w:rsidP="00944856">
      <w:pPr>
        <w:jc w:val="both"/>
      </w:pPr>
      <w:r w:rsidRPr="0040649D">
        <w:t>La fermentación es apropiada especialmente para desechos orgánicos de alta humedad y poca consistencia por falta de material que les dé estabilidad, por lo tanto presentan problemas en el compostaje (Por ejemplo, desechos caseros de alto contenido orgánico, desechos orgánicos de la industria alimenticia).</w:t>
      </w:r>
    </w:p>
    <w:p w:rsidR="00944856" w:rsidRPr="009E7FC3" w:rsidRDefault="00944856" w:rsidP="00944856">
      <w:pPr>
        <w:jc w:val="center"/>
        <w:rPr>
          <w:i/>
          <w:sz w:val="18"/>
          <w:szCs w:val="18"/>
          <w:lang w:val="es-CL"/>
        </w:rPr>
      </w:pPr>
      <w:r w:rsidRPr="00BC5186">
        <w:rPr>
          <w:i/>
          <w:sz w:val="18"/>
          <w:szCs w:val="18"/>
          <w:lang w:val="es-CL"/>
        </w:rPr>
        <w:t>.</w:t>
      </w:r>
    </w:p>
    <w:p w:rsidR="00944856" w:rsidRDefault="00944856" w:rsidP="00944856">
      <w:pPr>
        <w:spacing w:after="120"/>
        <w:rPr>
          <w:i/>
          <w:szCs w:val="24"/>
          <w:lang w:val="es-CL"/>
        </w:rPr>
      </w:pPr>
    </w:p>
    <w:p w:rsidR="00944856" w:rsidRDefault="00944856" w:rsidP="00944856">
      <w:pPr>
        <w:spacing w:after="120"/>
        <w:rPr>
          <w:i/>
          <w:szCs w:val="24"/>
          <w:lang w:val="es-CL"/>
        </w:rPr>
      </w:pPr>
      <w:r w:rsidRPr="00B31905">
        <w:rPr>
          <w:i/>
          <w:szCs w:val="24"/>
          <w:lang w:val="es-CL"/>
        </w:rPr>
        <w:t>Ventajas y desventajas de su incorporación</w:t>
      </w:r>
    </w:p>
    <w:p w:rsidR="00944856" w:rsidRDefault="00944856" w:rsidP="00944856">
      <w:r w:rsidRPr="0040649D">
        <w:t>En general se caracteriza por ventajas y desventajas similares a los otros procesos, con la diferencia de obtener biogás como un producto adicional. El proceso es más sensible a variaciones</w:t>
      </w:r>
      <w:r w:rsidR="00EC1DA5">
        <w:t xml:space="preserve"> a</w:t>
      </w:r>
      <w:r w:rsidRPr="0040649D">
        <w:t>, choques de carga, por lo que su control resulta más complejo y requiere de operarios calificados.</w:t>
      </w:r>
    </w:p>
    <w:p w:rsidR="00EC1DA5" w:rsidRDefault="00EC1DA5" w:rsidP="00944856"/>
    <w:p w:rsidR="00944856" w:rsidRPr="00B31905" w:rsidRDefault="00944856" w:rsidP="00944856">
      <w:pPr>
        <w:pStyle w:val="Prrafodelista"/>
        <w:spacing w:after="120"/>
        <w:ind w:left="0"/>
        <w:rPr>
          <w:rFonts w:eastAsia="Times New Roman"/>
          <w:i/>
          <w:szCs w:val="24"/>
        </w:rPr>
      </w:pPr>
      <w:r w:rsidRPr="00B31905">
        <w:rPr>
          <w:rFonts w:eastAsia="Times New Roman"/>
          <w:i/>
          <w:szCs w:val="24"/>
        </w:rPr>
        <w:t>Análisis de costo/beneficio</w:t>
      </w:r>
    </w:p>
    <w:p w:rsidR="00944856" w:rsidRDefault="00944856" w:rsidP="00944856">
      <w:r w:rsidRPr="0040649D">
        <w:lastRenderedPageBreak/>
        <w:t xml:space="preserve">La inversión en reactores con aislamiento, equipos mecánicos de mezclado, calefacciones, controles e instrumentación es muy alta en comparación </w:t>
      </w:r>
      <w:r w:rsidR="00EC1DA5">
        <w:t>a un relleno sanitario.</w:t>
      </w:r>
    </w:p>
    <w:p w:rsidR="00944856" w:rsidRDefault="00944856" w:rsidP="00944856">
      <w:pPr>
        <w:jc w:val="both"/>
      </w:pPr>
    </w:p>
    <w:p w:rsidR="00EC1DA5" w:rsidRDefault="00EC1DA5" w:rsidP="00EC1DA5">
      <w:pPr>
        <w:pStyle w:val="ANEXOS"/>
        <w:numPr>
          <w:ilvl w:val="0"/>
          <w:numId w:val="18"/>
        </w:numPr>
        <w:jc w:val="left"/>
      </w:pPr>
      <w:bookmarkStart w:id="58" w:name="_Toc405010415"/>
      <w:bookmarkStart w:id="59" w:name="_Toc405237643"/>
      <w:r w:rsidRPr="0040649D">
        <w:t>Incineración</w:t>
      </w:r>
      <w:bookmarkEnd w:id="58"/>
      <w:bookmarkEnd w:id="59"/>
    </w:p>
    <w:p w:rsidR="00EC1DA5" w:rsidRPr="00892F46" w:rsidRDefault="00EC1DA5" w:rsidP="00EC1DA5">
      <w:pPr>
        <w:autoSpaceDE w:val="0"/>
        <w:autoSpaceDN w:val="0"/>
        <w:adjustRightInd w:val="0"/>
        <w:jc w:val="both"/>
      </w:pPr>
      <w:r w:rsidRPr="00892F46">
        <w:t xml:space="preserve">La incineración es un proceso físico-térmico que en una atmósfera altamente oxidante, es decir, oxígeno en exceso, es capaz de transformar los RSU en cenizas y gases de combustión a temperaturas del orden de los </w:t>
      </w:r>
      <w:smartTag w:uri="urn:schemas-microsoft-com:office:smarttags" w:element="metricconverter">
        <w:smartTagPr>
          <w:attr w:name="ProductID" w:val="800 a"/>
        </w:smartTagPr>
        <w:r w:rsidRPr="00892F46">
          <w:t>800 a</w:t>
        </w:r>
      </w:smartTag>
      <w:r w:rsidRPr="00892F46">
        <w:t xml:space="preserve"> los 1.000 °C. </w:t>
      </w:r>
    </w:p>
    <w:p w:rsidR="00EC1DA5" w:rsidRPr="00892F46" w:rsidRDefault="00EC1DA5" w:rsidP="00EC1DA5">
      <w:pPr>
        <w:autoSpaceDE w:val="0"/>
        <w:autoSpaceDN w:val="0"/>
        <w:adjustRightInd w:val="0"/>
        <w:jc w:val="both"/>
      </w:pPr>
      <w:r w:rsidRPr="00892F46">
        <w:t>Los RS</w:t>
      </w:r>
      <w:r>
        <w:t>D</w:t>
      </w:r>
      <w:r w:rsidRPr="00892F46">
        <w:t xml:space="preserve"> podrían producir entre 250 y 750 kW h e/t, dependiendo de su poder calorífico y del pretratamiento al que sean sometidos. Es así, que el límite inferior corresponde </w:t>
      </w:r>
      <w:r>
        <w:t>a la incineración de los RSD</w:t>
      </w:r>
      <w:r w:rsidRPr="00892F46">
        <w:t xml:space="preserve"> sin tratamiento previo y en plantas denominadas “Mass Burn”, sin embargo el límite superior es p</w:t>
      </w:r>
      <w:r>
        <w:t>osible alcanzarlo cuando los RSD</w:t>
      </w:r>
      <w:r w:rsidRPr="00892F46">
        <w:t xml:space="preserve"> son secados, clasificados e incluso peletizados para ser incinerados en sistemas de “lecho fluidizado”.</w:t>
      </w:r>
    </w:p>
    <w:p w:rsidR="00EC1DA5" w:rsidRDefault="00EC1DA5" w:rsidP="00EC1DA5">
      <w:pPr>
        <w:autoSpaceDE w:val="0"/>
        <w:autoSpaceDN w:val="0"/>
        <w:adjustRightInd w:val="0"/>
        <w:jc w:val="both"/>
      </w:pPr>
      <w:r w:rsidRPr="00892F46">
        <w:t>En el mundo existen alrededor de 760 plantas de incineración de RSU en operación.</w:t>
      </w:r>
    </w:p>
    <w:p w:rsidR="00EC1DA5" w:rsidRPr="007F2153" w:rsidRDefault="00EC1DA5" w:rsidP="00EC1DA5">
      <w:pPr>
        <w:autoSpaceDE w:val="0"/>
        <w:autoSpaceDN w:val="0"/>
        <w:adjustRightInd w:val="0"/>
        <w:jc w:val="both"/>
      </w:pPr>
    </w:p>
    <w:p w:rsidR="00EC1DA5" w:rsidRPr="002B2F52" w:rsidRDefault="00EC1DA5" w:rsidP="00EC1DA5">
      <w:r w:rsidRPr="00892F46">
        <w:t xml:space="preserve">Los </w:t>
      </w:r>
      <w:r w:rsidRPr="002B2F52">
        <w:t xml:space="preserve">países que se destacan por incinerar su basura son: </w:t>
      </w:r>
    </w:p>
    <w:p w:rsidR="00EC1DA5" w:rsidRPr="002B2F52" w:rsidRDefault="00EC1DA5" w:rsidP="00EC1DA5">
      <w:pPr>
        <w:numPr>
          <w:ilvl w:val="0"/>
          <w:numId w:val="30"/>
        </w:numPr>
        <w:spacing w:line="276" w:lineRule="auto"/>
        <w:jc w:val="both"/>
      </w:pPr>
      <w:r w:rsidRPr="002B2F52">
        <w:t>Dinamarca (55%)</w:t>
      </w:r>
      <w:r w:rsidRPr="002B2F52">
        <w:rPr>
          <w:rStyle w:val="Refdenotaalpie"/>
        </w:rPr>
        <w:footnoteReference w:id="2"/>
      </w:r>
      <w:r w:rsidRPr="002B2F52">
        <w:t xml:space="preserve"> </w:t>
      </w:r>
    </w:p>
    <w:p w:rsidR="00EC1DA5" w:rsidRPr="002B2F52" w:rsidRDefault="00EC1DA5" w:rsidP="00EC1DA5">
      <w:pPr>
        <w:numPr>
          <w:ilvl w:val="0"/>
          <w:numId w:val="30"/>
        </w:numPr>
        <w:spacing w:line="276" w:lineRule="auto"/>
        <w:jc w:val="both"/>
      </w:pPr>
      <w:r w:rsidRPr="002B2F52">
        <w:t xml:space="preserve">Suecia (55%) </w:t>
      </w:r>
    </w:p>
    <w:p w:rsidR="00EC1DA5" w:rsidRPr="002B2F52" w:rsidRDefault="00EC1DA5" w:rsidP="00EC1DA5">
      <w:pPr>
        <w:numPr>
          <w:ilvl w:val="0"/>
          <w:numId w:val="30"/>
        </w:numPr>
        <w:spacing w:line="276" w:lineRule="auto"/>
        <w:jc w:val="both"/>
      </w:pPr>
      <w:r w:rsidRPr="002B2F52">
        <w:t xml:space="preserve">Suiza (45%) </w:t>
      </w:r>
    </w:p>
    <w:p w:rsidR="00EC1DA5" w:rsidRPr="002B2F52" w:rsidRDefault="00EC1DA5" w:rsidP="00EC1DA5">
      <w:pPr>
        <w:numPr>
          <w:ilvl w:val="0"/>
          <w:numId w:val="30"/>
        </w:numPr>
        <w:spacing w:line="276" w:lineRule="auto"/>
        <w:jc w:val="both"/>
      </w:pPr>
      <w:r w:rsidRPr="002B2F52">
        <w:t xml:space="preserve">Holanda (48%) </w:t>
      </w:r>
    </w:p>
    <w:p w:rsidR="00EC1DA5" w:rsidRPr="002B2F52" w:rsidRDefault="00EC1DA5" w:rsidP="00EC1DA5">
      <w:pPr>
        <w:numPr>
          <w:ilvl w:val="0"/>
          <w:numId w:val="30"/>
        </w:numPr>
        <w:spacing w:line="276" w:lineRule="auto"/>
        <w:jc w:val="both"/>
      </w:pPr>
      <w:r w:rsidRPr="002B2F52">
        <w:t>Francia (35%)</w:t>
      </w:r>
    </w:p>
    <w:p w:rsidR="00EC1DA5" w:rsidRPr="002B2F52" w:rsidRDefault="00EC1DA5" w:rsidP="00EC1DA5">
      <w:pPr>
        <w:numPr>
          <w:ilvl w:val="0"/>
          <w:numId w:val="30"/>
        </w:numPr>
        <w:spacing w:line="276" w:lineRule="auto"/>
        <w:jc w:val="both"/>
      </w:pPr>
      <w:r>
        <w:t>Alemania (42%)</w:t>
      </w:r>
    </w:p>
    <w:p w:rsidR="00EC1DA5" w:rsidRPr="002B2F52" w:rsidRDefault="00EC1DA5" w:rsidP="00EC1DA5">
      <w:pPr>
        <w:spacing w:before="200"/>
        <w:jc w:val="both"/>
      </w:pPr>
      <w:r w:rsidRPr="002B2F52">
        <w:t xml:space="preserve">Cabe mencionar que corresponden a países catalogados como desarrollados, cuya composición de RSD arroja valores menores al 50% en materia orgánica, por tanto, de mayor valor energético que el presente </w:t>
      </w:r>
      <w:r>
        <w:t>en nuestro país.</w:t>
      </w:r>
      <w:r w:rsidRPr="002B2F52">
        <w:t>.</w:t>
      </w:r>
    </w:p>
    <w:p w:rsidR="00EC1DA5" w:rsidRDefault="00EC1DA5" w:rsidP="00EC1DA5">
      <w:pPr>
        <w:spacing w:before="200"/>
        <w:rPr>
          <w:color w:val="FF0000"/>
        </w:rPr>
      </w:pPr>
      <w:r w:rsidRPr="002B2F52">
        <w:t>Considerando el aprovechamiento</w:t>
      </w:r>
      <w:r w:rsidRPr="00892F46">
        <w:t xml:space="preserve"> energético en las instalaciones de incineración, los costos </w:t>
      </w:r>
      <w:r>
        <w:t xml:space="preserve">de operación </w:t>
      </w:r>
      <w:r w:rsidRPr="00892F46">
        <w:t xml:space="preserve">por tonelada pueden </w:t>
      </w:r>
      <w:r>
        <w:t>ser estimados</w:t>
      </w:r>
      <w:r w:rsidRPr="00892F46">
        <w:t xml:space="preserve"> entre 60 y 150 USD.</w:t>
      </w:r>
    </w:p>
    <w:p w:rsidR="00944856" w:rsidRDefault="00944856" w:rsidP="00944856">
      <w:pPr>
        <w:jc w:val="both"/>
      </w:pPr>
    </w:p>
    <w:p w:rsidR="00EC1DA5" w:rsidRPr="006372F4" w:rsidRDefault="00EC1DA5" w:rsidP="00EC1DA5">
      <w:pPr>
        <w:pStyle w:val="ANEXOS"/>
        <w:numPr>
          <w:ilvl w:val="0"/>
          <w:numId w:val="18"/>
        </w:numPr>
        <w:jc w:val="left"/>
      </w:pPr>
      <w:bookmarkStart w:id="60" w:name="_Toc226953250"/>
      <w:bookmarkStart w:id="61" w:name="_Toc252887122"/>
      <w:bookmarkStart w:id="62" w:name="_Toc283757076"/>
      <w:bookmarkStart w:id="63" w:name="_Toc291598821"/>
      <w:bookmarkStart w:id="64" w:name="_Toc405010419"/>
      <w:bookmarkStart w:id="65" w:name="_Toc405237644"/>
      <w:r w:rsidRPr="006372F4">
        <w:t>Disposición Final</w:t>
      </w:r>
      <w:bookmarkEnd w:id="60"/>
      <w:bookmarkEnd w:id="61"/>
      <w:bookmarkEnd w:id="62"/>
      <w:bookmarkEnd w:id="63"/>
      <w:r w:rsidRPr="006372F4">
        <w:t xml:space="preserve"> en relleno sanitario</w:t>
      </w:r>
      <w:bookmarkEnd w:id="64"/>
      <w:bookmarkEnd w:id="65"/>
    </w:p>
    <w:p w:rsidR="00EC1DA5" w:rsidRPr="0040649D" w:rsidRDefault="00EC1DA5" w:rsidP="00EC1DA5">
      <w:pPr>
        <w:rPr>
          <w:b/>
        </w:rPr>
      </w:pPr>
      <w:r w:rsidRPr="0040649D">
        <w:t>Los aspectos importantes en la evaluación de alternativas, emplazamiento y diseño de los rellenos sanitarios incluyen los siguientes puntos:</w:t>
      </w:r>
    </w:p>
    <w:p w:rsidR="00EC1DA5" w:rsidRPr="002E65D5" w:rsidRDefault="00EC1DA5" w:rsidP="00EC1DA5">
      <w:pPr>
        <w:pStyle w:val="ANEXOS"/>
        <w:numPr>
          <w:ilvl w:val="1"/>
          <w:numId w:val="18"/>
        </w:numPr>
        <w:jc w:val="left"/>
      </w:pPr>
      <w:bookmarkStart w:id="66" w:name="_Toc405010420"/>
      <w:bookmarkStart w:id="67" w:name="_Toc405237645"/>
      <w:r w:rsidRPr="002E65D5">
        <w:t>Selección del Sitio:</w:t>
      </w:r>
      <w:bookmarkEnd w:id="66"/>
      <w:bookmarkEnd w:id="67"/>
      <w:r w:rsidRPr="002E65D5">
        <w:t xml:space="preserve"> </w:t>
      </w:r>
    </w:p>
    <w:p w:rsidR="00EC1DA5" w:rsidRPr="0040649D" w:rsidRDefault="00EC1DA5" w:rsidP="00EC1DA5">
      <w:pPr>
        <w:jc w:val="both"/>
      </w:pPr>
      <w:r w:rsidRPr="0040649D">
        <w:t>El objetivo del depósito o relleno sanitario es el aislamiento</w:t>
      </w:r>
      <w:r>
        <w:t xml:space="preserve"> indefinido de los residuos, su</w:t>
      </w:r>
      <w:r w:rsidRPr="0040649D">
        <w:t xml:space="preserve"> construcción y operación debe fundarse en un “sistema multibarreras“. Sólo el conjunto de varias barreras garantiza que las emisiones aún en caso de fallas o accidentes sean mínimas; en este contexto la selección del sitio de emplazamiento y la existencia de una barrera geológica (suelos impermeables) es prioritaria. </w:t>
      </w:r>
    </w:p>
    <w:p w:rsidR="00EC1DA5" w:rsidRPr="0040649D" w:rsidRDefault="00EC1DA5" w:rsidP="00EC1DA5">
      <w:r w:rsidRPr="0040649D">
        <w:t>Los requisitos del Reglamento de Relleno Sanitarios D.S. N° 189/08 MINSAL con respecto al emplazamiento son las siguientes:</w:t>
      </w:r>
    </w:p>
    <w:p w:rsidR="00EC1DA5" w:rsidRDefault="00EC1DA5" w:rsidP="00EC1DA5">
      <w:pPr>
        <w:rPr>
          <w:b/>
          <w:spacing w:val="-3"/>
          <w:szCs w:val="24"/>
        </w:rPr>
      </w:pPr>
    </w:p>
    <w:p w:rsidR="00EC1DA5" w:rsidRDefault="00EC1DA5" w:rsidP="00EC1DA5">
      <w:pPr>
        <w:rPr>
          <w:b/>
          <w:spacing w:val="-3"/>
          <w:szCs w:val="24"/>
        </w:rPr>
      </w:pPr>
    </w:p>
    <w:p w:rsidR="00EC1DA5" w:rsidRDefault="00EC1DA5" w:rsidP="00EC1DA5">
      <w:pPr>
        <w:rPr>
          <w:b/>
          <w:spacing w:val="-3"/>
          <w:szCs w:val="24"/>
        </w:rPr>
      </w:pPr>
    </w:p>
    <w:p w:rsidR="00EC1DA5" w:rsidRPr="0040649D" w:rsidRDefault="00EC1DA5" w:rsidP="00EC1DA5">
      <w:pPr>
        <w:rPr>
          <w:b/>
          <w:spacing w:val="-3"/>
          <w:szCs w:val="24"/>
        </w:rPr>
      </w:pPr>
    </w:p>
    <w:p w:rsidR="00EC1DA5" w:rsidRPr="0040649D" w:rsidRDefault="00EC1DA5" w:rsidP="00EC1DA5">
      <w:pPr>
        <w:pStyle w:val="Epgrafe"/>
        <w:rPr>
          <w:noProof/>
        </w:rPr>
      </w:pPr>
      <w:bookmarkStart w:id="68" w:name="_Toc291599074"/>
      <w:bookmarkStart w:id="69" w:name="_Toc405237653"/>
      <w:r>
        <w:lastRenderedPageBreak/>
        <w:t xml:space="preserve">Tabla </w:t>
      </w:r>
      <w:r w:rsidR="00E733CF">
        <w:fldChar w:fldCharType="begin"/>
      </w:r>
      <w:r w:rsidR="00E733CF">
        <w:instrText xml:space="preserve"> STYLEREF 1 \s </w:instrText>
      </w:r>
      <w:r w:rsidR="00E733CF">
        <w:fldChar w:fldCharType="separate"/>
      </w:r>
      <w:r>
        <w:rPr>
          <w:noProof/>
        </w:rPr>
        <w:t>2</w:t>
      </w:r>
      <w:r w:rsidR="00E733CF">
        <w:rPr>
          <w:noProof/>
        </w:rPr>
        <w:fldChar w:fldCharType="end"/>
      </w:r>
      <w:r>
        <w:noBreakHyphen/>
      </w:r>
      <w:r w:rsidR="00E733CF">
        <w:fldChar w:fldCharType="begin"/>
      </w:r>
      <w:r w:rsidR="00E733CF">
        <w:instrText xml:space="preserve"> SEQ Tabla \* ARABIC \s 1 </w:instrText>
      </w:r>
      <w:r w:rsidR="00E733CF">
        <w:fldChar w:fldCharType="separate"/>
      </w:r>
      <w:r>
        <w:rPr>
          <w:noProof/>
        </w:rPr>
        <w:t>5</w:t>
      </w:r>
      <w:r w:rsidR="00E733CF">
        <w:rPr>
          <w:noProof/>
        </w:rPr>
        <w:fldChar w:fldCharType="end"/>
      </w:r>
      <w:r w:rsidRPr="0040649D">
        <w:t xml:space="preserve"> </w:t>
      </w:r>
      <w:r w:rsidRPr="0040649D">
        <w:rPr>
          <w:noProof/>
        </w:rPr>
        <w:t>Requisitos de Emplazamiento de Rellenos Sanitarios</w:t>
      </w:r>
      <w:bookmarkEnd w:id="68"/>
      <w:bookmarkEnd w:id="69"/>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1E0" w:firstRow="1" w:lastRow="1" w:firstColumn="1" w:lastColumn="1" w:noHBand="0" w:noVBand="0"/>
      </w:tblPr>
      <w:tblGrid>
        <w:gridCol w:w="1118"/>
        <w:gridCol w:w="1559"/>
        <w:gridCol w:w="6078"/>
      </w:tblGrid>
      <w:tr w:rsidR="00EC1DA5" w:rsidRPr="00EC1DA5" w:rsidTr="002F1A55">
        <w:trPr>
          <w:trHeight w:val="424"/>
          <w:jc w:val="center"/>
        </w:trPr>
        <w:tc>
          <w:tcPr>
            <w:tcW w:w="1118" w:type="dxa"/>
            <w:tcBorders>
              <w:top w:val="single" w:sz="12" w:space="0" w:color="auto"/>
              <w:bottom w:val="single" w:sz="12" w:space="0" w:color="auto"/>
            </w:tcBorders>
            <w:shd w:val="pct20" w:color="auto" w:fill="auto"/>
            <w:vAlign w:val="center"/>
          </w:tcPr>
          <w:p w:rsidR="00EC1DA5" w:rsidRPr="00EC1DA5" w:rsidRDefault="00EC1DA5" w:rsidP="002F1A55">
            <w:pPr>
              <w:numPr>
                <w:ilvl w:val="12"/>
                <w:numId w:val="0"/>
              </w:numPr>
              <w:tabs>
                <w:tab w:val="left" w:pos="-720"/>
              </w:tabs>
              <w:suppressAutoHyphens/>
              <w:jc w:val="center"/>
              <w:rPr>
                <w:b/>
                <w:spacing w:val="-3"/>
                <w:sz w:val="20"/>
                <w:szCs w:val="20"/>
              </w:rPr>
            </w:pPr>
            <w:r w:rsidRPr="00EC1DA5">
              <w:rPr>
                <w:b/>
                <w:spacing w:val="-3"/>
                <w:sz w:val="20"/>
                <w:szCs w:val="20"/>
              </w:rPr>
              <w:t>Título II</w:t>
            </w:r>
          </w:p>
        </w:tc>
        <w:tc>
          <w:tcPr>
            <w:tcW w:w="1559" w:type="dxa"/>
            <w:tcBorders>
              <w:top w:val="single" w:sz="12" w:space="0" w:color="auto"/>
              <w:bottom w:val="single" w:sz="12" w:space="0" w:color="auto"/>
            </w:tcBorders>
            <w:shd w:val="pct20" w:color="auto" w:fill="auto"/>
            <w:vAlign w:val="center"/>
          </w:tcPr>
          <w:p w:rsidR="00EC1DA5" w:rsidRPr="00EC1DA5" w:rsidRDefault="00EC1DA5" w:rsidP="002F1A55">
            <w:pPr>
              <w:numPr>
                <w:ilvl w:val="12"/>
                <w:numId w:val="0"/>
              </w:numPr>
              <w:tabs>
                <w:tab w:val="left" w:pos="-720"/>
              </w:tabs>
              <w:suppressAutoHyphens/>
              <w:jc w:val="center"/>
              <w:rPr>
                <w:b/>
                <w:spacing w:val="-3"/>
                <w:sz w:val="20"/>
                <w:szCs w:val="20"/>
              </w:rPr>
            </w:pPr>
            <w:r w:rsidRPr="00EC1DA5">
              <w:rPr>
                <w:b/>
                <w:spacing w:val="-3"/>
                <w:sz w:val="20"/>
                <w:szCs w:val="20"/>
              </w:rPr>
              <w:t>Del Sitio</w:t>
            </w:r>
          </w:p>
        </w:tc>
        <w:tc>
          <w:tcPr>
            <w:tcW w:w="6078" w:type="dxa"/>
            <w:tcBorders>
              <w:top w:val="single" w:sz="12" w:space="0" w:color="auto"/>
              <w:bottom w:val="single" w:sz="12" w:space="0" w:color="auto"/>
            </w:tcBorders>
            <w:shd w:val="pct20" w:color="auto" w:fill="auto"/>
            <w:vAlign w:val="center"/>
          </w:tcPr>
          <w:p w:rsidR="00EC1DA5" w:rsidRPr="00EC1DA5" w:rsidRDefault="00EC1DA5" w:rsidP="002F1A55">
            <w:pPr>
              <w:numPr>
                <w:ilvl w:val="12"/>
                <w:numId w:val="0"/>
              </w:numPr>
              <w:tabs>
                <w:tab w:val="left" w:pos="-720"/>
              </w:tabs>
              <w:suppressAutoHyphens/>
              <w:jc w:val="center"/>
              <w:rPr>
                <w:b/>
                <w:spacing w:val="-3"/>
                <w:sz w:val="20"/>
                <w:szCs w:val="20"/>
              </w:rPr>
            </w:pPr>
            <w:r w:rsidRPr="00EC1DA5">
              <w:rPr>
                <w:b/>
                <w:spacing w:val="-3"/>
                <w:sz w:val="20"/>
                <w:szCs w:val="20"/>
              </w:rPr>
              <w:t>Descripción</w:t>
            </w:r>
          </w:p>
        </w:tc>
      </w:tr>
      <w:tr w:rsidR="00EC1DA5" w:rsidRPr="00EC1DA5" w:rsidTr="002F1A55">
        <w:trPr>
          <w:trHeight w:val="737"/>
          <w:jc w:val="center"/>
        </w:trPr>
        <w:tc>
          <w:tcPr>
            <w:tcW w:w="1118" w:type="dxa"/>
            <w:tcBorders>
              <w:top w:val="nil"/>
            </w:tcBorders>
          </w:tcPr>
          <w:p w:rsidR="00EC1DA5" w:rsidRPr="00EC1DA5" w:rsidRDefault="00EC1DA5" w:rsidP="002F1A55">
            <w:pPr>
              <w:numPr>
                <w:ilvl w:val="12"/>
                <w:numId w:val="0"/>
              </w:numPr>
              <w:tabs>
                <w:tab w:val="left" w:pos="-720"/>
              </w:tabs>
              <w:suppressAutoHyphens/>
              <w:rPr>
                <w:spacing w:val="-3"/>
                <w:sz w:val="20"/>
                <w:szCs w:val="20"/>
              </w:rPr>
            </w:pPr>
          </w:p>
        </w:tc>
        <w:tc>
          <w:tcPr>
            <w:tcW w:w="1559" w:type="dxa"/>
            <w:tcBorders>
              <w:top w:val="nil"/>
            </w:tcBorders>
            <w:vAlign w:val="center"/>
          </w:tcPr>
          <w:p w:rsidR="00EC1DA5" w:rsidRPr="00EC1DA5" w:rsidRDefault="00EC1DA5" w:rsidP="002F1A55">
            <w:pPr>
              <w:numPr>
                <w:ilvl w:val="12"/>
                <w:numId w:val="0"/>
              </w:numPr>
              <w:tabs>
                <w:tab w:val="left" w:pos="-720"/>
              </w:tabs>
              <w:suppressAutoHyphens/>
              <w:jc w:val="center"/>
              <w:rPr>
                <w:spacing w:val="-3"/>
                <w:sz w:val="20"/>
                <w:szCs w:val="20"/>
              </w:rPr>
            </w:pPr>
            <w:r w:rsidRPr="00EC1DA5">
              <w:rPr>
                <w:spacing w:val="-3"/>
                <w:sz w:val="20"/>
                <w:szCs w:val="20"/>
              </w:rPr>
              <w:t>Distancias mínimas</w:t>
            </w:r>
          </w:p>
        </w:tc>
        <w:tc>
          <w:tcPr>
            <w:tcW w:w="6078" w:type="dxa"/>
            <w:tcBorders>
              <w:top w:val="nil"/>
            </w:tcBorders>
            <w:vAlign w:val="center"/>
          </w:tcPr>
          <w:p w:rsidR="00EC1DA5" w:rsidRPr="00EC1DA5" w:rsidRDefault="00EC1DA5" w:rsidP="002F1A55">
            <w:pPr>
              <w:pStyle w:val="Encabezado"/>
              <w:numPr>
                <w:ilvl w:val="12"/>
                <w:numId w:val="0"/>
              </w:numPr>
              <w:tabs>
                <w:tab w:val="clear" w:pos="4252"/>
                <w:tab w:val="clear" w:pos="8504"/>
                <w:tab w:val="left" w:pos="-720"/>
              </w:tabs>
              <w:suppressAutoHyphens/>
              <w:rPr>
                <w:spacing w:val="-3"/>
                <w:sz w:val="20"/>
                <w:szCs w:val="20"/>
              </w:rPr>
            </w:pPr>
            <w:r w:rsidRPr="00EC1DA5">
              <w:rPr>
                <w:spacing w:val="-3"/>
                <w:sz w:val="20"/>
                <w:szCs w:val="20"/>
              </w:rPr>
              <w:t>300 m  franja de protección interpredial</w:t>
            </w:r>
          </w:p>
        </w:tc>
      </w:tr>
      <w:tr w:rsidR="00EC1DA5" w:rsidRPr="00EC1DA5" w:rsidTr="002F1A55">
        <w:trPr>
          <w:trHeight w:val="737"/>
          <w:jc w:val="center"/>
        </w:trPr>
        <w:tc>
          <w:tcPr>
            <w:tcW w:w="1118" w:type="dxa"/>
          </w:tcPr>
          <w:p w:rsidR="00EC1DA5" w:rsidRPr="00EC1DA5" w:rsidRDefault="00EC1DA5" w:rsidP="002F1A55">
            <w:pPr>
              <w:numPr>
                <w:ilvl w:val="12"/>
                <w:numId w:val="0"/>
              </w:numPr>
              <w:tabs>
                <w:tab w:val="left" w:pos="-720"/>
              </w:tabs>
              <w:suppressAutoHyphens/>
              <w:rPr>
                <w:spacing w:val="-3"/>
                <w:sz w:val="20"/>
                <w:szCs w:val="20"/>
              </w:rPr>
            </w:pPr>
          </w:p>
        </w:tc>
        <w:tc>
          <w:tcPr>
            <w:tcW w:w="1559" w:type="dxa"/>
            <w:vAlign w:val="center"/>
          </w:tcPr>
          <w:p w:rsidR="00EC1DA5" w:rsidRPr="00EC1DA5" w:rsidRDefault="00EC1DA5" w:rsidP="002F1A55">
            <w:pPr>
              <w:numPr>
                <w:ilvl w:val="12"/>
                <w:numId w:val="0"/>
              </w:numPr>
              <w:tabs>
                <w:tab w:val="left" w:pos="-720"/>
              </w:tabs>
              <w:suppressAutoHyphens/>
              <w:jc w:val="center"/>
              <w:rPr>
                <w:spacing w:val="-3"/>
                <w:sz w:val="20"/>
                <w:szCs w:val="20"/>
              </w:rPr>
            </w:pPr>
            <w:r w:rsidRPr="00EC1DA5">
              <w:rPr>
                <w:spacing w:val="-3"/>
                <w:sz w:val="20"/>
                <w:szCs w:val="20"/>
              </w:rPr>
              <w:t>“Barrera geológica”</w:t>
            </w:r>
          </w:p>
        </w:tc>
        <w:tc>
          <w:tcPr>
            <w:tcW w:w="6078" w:type="dxa"/>
            <w:vAlign w:val="center"/>
          </w:tcPr>
          <w:p w:rsidR="00EC1DA5" w:rsidRPr="00EC1DA5" w:rsidRDefault="00EC1DA5" w:rsidP="002F1A55">
            <w:pPr>
              <w:numPr>
                <w:ilvl w:val="12"/>
                <w:numId w:val="0"/>
              </w:numPr>
              <w:tabs>
                <w:tab w:val="left" w:pos="-720"/>
              </w:tabs>
              <w:suppressAutoHyphens/>
              <w:rPr>
                <w:spacing w:val="-3"/>
                <w:sz w:val="20"/>
                <w:szCs w:val="20"/>
              </w:rPr>
            </w:pPr>
            <w:r w:rsidRPr="00EC1DA5">
              <w:rPr>
                <w:spacing w:val="-3"/>
                <w:sz w:val="20"/>
                <w:szCs w:val="20"/>
              </w:rPr>
              <w:t>Distancia hacia la napa subterránea &gt; 3 m, con una permeabilidad máximo de K</w:t>
            </w:r>
            <w:r w:rsidRPr="00EC1DA5">
              <w:rPr>
                <w:spacing w:val="-3"/>
                <w:sz w:val="20"/>
                <w:szCs w:val="20"/>
                <w:vertAlign w:val="subscript"/>
              </w:rPr>
              <w:t>f</w:t>
            </w:r>
            <w:r w:rsidRPr="00EC1DA5">
              <w:rPr>
                <w:spacing w:val="-3"/>
                <w:sz w:val="20"/>
                <w:szCs w:val="20"/>
              </w:rPr>
              <w:t>=10</w:t>
            </w:r>
            <w:r w:rsidRPr="00EC1DA5">
              <w:rPr>
                <w:spacing w:val="-3"/>
                <w:sz w:val="20"/>
                <w:szCs w:val="20"/>
                <w:vertAlign w:val="superscript"/>
              </w:rPr>
              <w:t>-7</w:t>
            </w:r>
            <w:r w:rsidRPr="00EC1DA5">
              <w:rPr>
                <w:spacing w:val="-3"/>
                <w:sz w:val="20"/>
                <w:szCs w:val="20"/>
              </w:rPr>
              <w:t xml:space="preserve"> m/s (10</w:t>
            </w:r>
            <w:r w:rsidRPr="00EC1DA5">
              <w:rPr>
                <w:spacing w:val="-3"/>
                <w:sz w:val="20"/>
                <w:szCs w:val="20"/>
                <w:vertAlign w:val="superscript"/>
              </w:rPr>
              <w:t>-5</w:t>
            </w:r>
            <w:r w:rsidRPr="00EC1DA5">
              <w:rPr>
                <w:spacing w:val="-3"/>
                <w:sz w:val="20"/>
                <w:szCs w:val="20"/>
              </w:rPr>
              <w:t xml:space="preserve"> cm/s)</w:t>
            </w:r>
          </w:p>
        </w:tc>
      </w:tr>
      <w:tr w:rsidR="00EC1DA5" w:rsidRPr="00EC1DA5" w:rsidTr="002F1A55">
        <w:trPr>
          <w:trHeight w:val="737"/>
          <w:jc w:val="center"/>
        </w:trPr>
        <w:tc>
          <w:tcPr>
            <w:tcW w:w="1118" w:type="dxa"/>
          </w:tcPr>
          <w:p w:rsidR="00EC1DA5" w:rsidRPr="00EC1DA5" w:rsidRDefault="00EC1DA5" w:rsidP="002F1A55">
            <w:pPr>
              <w:numPr>
                <w:ilvl w:val="12"/>
                <w:numId w:val="0"/>
              </w:numPr>
              <w:tabs>
                <w:tab w:val="left" w:pos="-720"/>
              </w:tabs>
              <w:suppressAutoHyphens/>
              <w:rPr>
                <w:spacing w:val="-3"/>
                <w:sz w:val="20"/>
                <w:szCs w:val="20"/>
              </w:rPr>
            </w:pPr>
          </w:p>
        </w:tc>
        <w:tc>
          <w:tcPr>
            <w:tcW w:w="1559" w:type="dxa"/>
            <w:vAlign w:val="center"/>
          </w:tcPr>
          <w:p w:rsidR="00EC1DA5" w:rsidRPr="00EC1DA5" w:rsidRDefault="00EC1DA5" w:rsidP="002F1A55">
            <w:pPr>
              <w:numPr>
                <w:ilvl w:val="12"/>
                <w:numId w:val="0"/>
              </w:numPr>
              <w:tabs>
                <w:tab w:val="left" w:pos="-720"/>
              </w:tabs>
              <w:suppressAutoHyphens/>
              <w:jc w:val="center"/>
              <w:rPr>
                <w:spacing w:val="-3"/>
                <w:sz w:val="20"/>
                <w:szCs w:val="20"/>
              </w:rPr>
            </w:pPr>
            <w:r w:rsidRPr="00EC1DA5">
              <w:rPr>
                <w:spacing w:val="-3"/>
                <w:sz w:val="20"/>
                <w:szCs w:val="20"/>
              </w:rPr>
              <w:t>Otros</w:t>
            </w:r>
          </w:p>
        </w:tc>
        <w:tc>
          <w:tcPr>
            <w:tcW w:w="6078" w:type="dxa"/>
            <w:vAlign w:val="center"/>
          </w:tcPr>
          <w:p w:rsidR="00EC1DA5" w:rsidRPr="00EC1DA5" w:rsidRDefault="00EC1DA5" w:rsidP="002F1A55">
            <w:pPr>
              <w:numPr>
                <w:ilvl w:val="12"/>
                <w:numId w:val="0"/>
              </w:numPr>
              <w:tabs>
                <w:tab w:val="left" w:pos="-720"/>
              </w:tabs>
              <w:suppressAutoHyphens/>
              <w:rPr>
                <w:spacing w:val="-3"/>
                <w:sz w:val="20"/>
                <w:szCs w:val="20"/>
              </w:rPr>
            </w:pPr>
            <w:r w:rsidRPr="00EC1DA5">
              <w:rPr>
                <w:spacing w:val="-3"/>
                <w:sz w:val="20"/>
                <w:szCs w:val="20"/>
              </w:rPr>
              <w:t>Ausencia de inundaciones, fallas geológicas, riesgos de inestabilidad</w:t>
            </w:r>
          </w:p>
        </w:tc>
      </w:tr>
    </w:tbl>
    <w:p w:rsidR="00EC1DA5" w:rsidRPr="0086140A" w:rsidRDefault="00EC1DA5" w:rsidP="00EC1DA5">
      <w:pPr>
        <w:jc w:val="center"/>
        <w:rPr>
          <w:i/>
          <w:sz w:val="18"/>
          <w:szCs w:val="18"/>
        </w:rPr>
      </w:pPr>
    </w:p>
    <w:p w:rsidR="00EC1DA5" w:rsidRDefault="00EC1DA5" w:rsidP="00EC1DA5"/>
    <w:p w:rsidR="00EC1DA5" w:rsidRDefault="00EC1DA5" w:rsidP="00EC1DA5">
      <w:r w:rsidRPr="0040649D">
        <w:t>En la disposición final de los residuos sólidos se han desarrollado varios métodos de relleno, entre ellos:</w:t>
      </w:r>
    </w:p>
    <w:p w:rsidR="00EC1DA5" w:rsidRPr="0040649D" w:rsidRDefault="00EC1DA5" w:rsidP="00EC1DA5"/>
    <w:p w:rsidR="00EC1DA5" w:rsidRDefault="00EC1DA5" w:rsidP="00EC1DA5">
      <w:pPr>
        <w:spacing w:after="120"/>
        <w:rPr>
          <w:szCs w:val="24"/>
          <w:u w:val="single"/>
        </w:rPr>
      </w:pPr>
      <w:r w:rsidRPr="0091155E">
        <w:rPr>
          <w:szCs w:val="24"/>
          <w:u w:val="single"/>
        </w:rPr>
        <w:t>Método de zanjas:</w:t>
      </w:r>
    </w:p>
    <w:p w:rsidR="00EC1DA5" w:rsidRPr="0040649D" w:rsidRDefault="00EC1DA5" w:rsidP="00EC1DA5">
      <w:pPr>
        <w:jc w:val="both"/>
        <w:rPr>
          <w:szCs w:val="24"/>
        </w:rPr>
      </w:pPr>
      <w:r w:rsidRPr="0040649D">
        <w:rPr>
          <w:szCs w:val="24"/>
        </w:rPr>
        <w:t xml:space="preserve"> Se utiliza en áreas donde la napa freática está muy por debajo de la superficie. Al iniciar el proceso se excava una primera zanja y la tierra se apila para formar un dique detrás de la excavación; después se depositan los desechos en capas delgadas y compactadas hasta alcanzar la altura deseada. El material de cubrimiento se obtiene por excavación de la zanja adyacente. </w:t>
      </w:r>
    </w:p>
    <w:p w:rsidR="00EC1DA5" w:rsidRDefault="00EC1DA5" w:rsidP="00EC1DA5">
      <w:pPr>
        <w:spacing w:after="120"/>
        <w:jc w:val="both"/>
        <w:rPr>
          <w:szCs w:val="24"/>
          <w:u w:val="single"/>
        </w:rPr>
      </w:pPr>
      <w:r w:rsidRPr="0091155E">
        <w:rPr>
          <w:szCs w:val="24"/>
          <w:u w:val="single"/>
        </w:rPr>
        <w:t>Método de relleno sobre el terreno:</w:t>
      </w:r>
    </w:p>
    <w:p w:rsidR="00EC1DA5" w:rsidRDefault="00EC1DA5" w:rsidP="00EC1DA5">
      <w:pPr>
        <w:jc w:val="both"/>
        <w:rPr>
          <w:szCs w:val="24"/>
        </w:rPr>
      </w:pPr>
      <w:r w:rsidRPr="0040649D">
        <w:rPr>
          <w:szCs w:val="24"/>
        </w:rPr>
        <w:t xml:space="preserve"> Por lo general, la operación del relleno comienza por construir un dique de tierra contra en el cual se colocan los desechos en capas delgadas y se compactan en forma de celdas de 2 a 3 metros de altura c/u, efectuándose un cubrimiento diario. El material de cubrimiento debe traerse de terrenos adyacentes. La altura final del relleno generalmente alcanza unos 10 a 20 metros.</w:t>
      </w:r>
    </w:p>
    <w:p w:rsidR="00EC1DA5" w:rsidRDefault="00EC1DA5" w:rsidP="00EC1DA5">
      <w:pPr>
        <w:spacing w:after="120"/>
        <w:jc w:val="both"/>
        <w:rPr>
          <w:szCs w:val="24"/>
        </w:rPr>
      </w:pPr>
      <w:r w:rsidRPr="0091155E">
        <w:rPr>
          <w:szCs w:val="24"/>
          <w:u w:val="single"/>
        </w:rPr>
        <w:t>Relleno en taludes:</w:t>
      </w:r>
      <w:r w:rsidRPr="0040649D">
        <w:rPr>
          <w:szCs w:val="24"/>
        </w:rPr>
        <w:t xml:space="preserve"> </w:t>
      </w:r>
    </w:p>
    <w:p w:rsidR="00EC1DA5" w:rsidRPr="0040649D" w:rsidRDefault="00EC1DA5" w:rsidP="00EC1DA5">
      <w:pPr>
        <w:jc w:val="both"/>
        <w:rPr>
          <w:b/>
          <w:szCs w:val="24"/>
        </w:rPr>
      </w:pPr>
      <w:r w:rsidRPr="0040649D">
        <w:rPr>
          <w:szCs w:val="24"/>
        </w:rPr>
        <w:t>Requiere la construcción de un dique de tierra, las celdas de desechos compactados se amontonan sucesivamente en el talud hasta alcanzar la altura de diseño. El material de cubrimiento diario y final se obtiene del talud o de terrenos adyacentes.</w:t>
      </w:r>
    </w:p>
    <w:p w:rsidR="00EC1DA5" w:rsidRDefault="00EC1DA5" w:rsidP="00EC1DA5">
      <w:pPr>
        <w:jc w:val="both"/>
        <w:rPr>
          <w:szCs w:val="24"/>
        </w:rPr>
      </w:pPr>
      <w:r w:rsidRPr="0040649D">
        <w:t>De acuerdo a las consideraciones expuestas, se recomienda el relleno en talud como el método más adecuado bajo las condicion</w:t>
      </w:r>
      <w:r>
        <w:t xml:space="preserve">es de la zona. Ya que </w:t>
      </w:r>
      <w:r w:rsidRPr="0040649D">
        <w:rPr>
          <w:szCs w:val="24"/>
        </w:rPr>
        <w:t>el fondo del relleno permite un drenaje gravitacional de los líquidos percolados, minimizándose la acumulación y una eventual filtración de los líquidos al subsuelo, en caso de fallas de la impermeabiliz</w:t>
      </w:r>
      <w:r>
        <w:rPr>
          <w:szCs w:val="24"/>
        </w:rPr>
        <w:t>ación, además, p</w:t>
      </w:r>
      <w:r w:rsidRPr="0040649D">
        <w:rPr>
          <w:szCs w:val="24"/>
        </w:rPr>
        <w:t>ermite a</w:t>
      </w:r>
      <w:r>
        <w:rPr>
          <w:szCs w:val="24"/>
        </w:rPr>
        <w:t>provechar sitios con pendientes y una vez terminado sus funcionamientos se recubre adaptándolo de forma armónica con el entorno.</w:t>
      </w:r>
    </w:p>
    <w:p w:rsidR="00EC1DA5" w:rsidRPr="0091155E" w:rsidRDefault="00EC1DA5" w:rsidP="00EC1DA5"/>
    <w:p w:rsidR="00EC1DA5" w:rsidRPr="0091155E" w:rsidRDefault="00EC1DA5" w:rsidP="00EC1DA5">
      <w:pPr>
        <w:pStyle w:val="ANEXOS"/>
        <w:numPr>
          <w:ilvl w:val="1"/>
          <w:numId w:val="18"/>
        </w:numPr>
        <w:jc w:val="left"/>
      </w:pPr>
      <w:bookmarkStart w:id="70" w:name="_Toc405010421"/>
      <w:bookmarkStart w:id="71" w:name="_Toc405237646"/>
      <w:r w:rsidRPr="0091155E">
        <w:t>Impermeabilización de fondo:</w:t>
      </w:r>
      <w:bookmarkEnd w:id="70"/>
      <w:bookmarkEnd w:id="71"/>
    </w:p>
    <w:p w:rsidR="00EC1DA5" w:rsidRDefault="00EC1DA5" w:rsidP="00EC1DA5">
      <w:pPr>
        <w:jc w:val="both"/>
      </w:pPr>
      <w:r w:rsidRPr="0040649D">
        <w:t>La capa básica del relleno sanitario, es decir la impermeabilización en combinación con un sistema de captación de los líquidos percolados tiene la función de evitar filtraciones de los lixiviados de los desechos. Como base del relleno se requiere un subsuelo natural remodelado y compactado con pendientes naturales o artificiales de por lo menos 3%, para facilitar el drenaje de los líquidos percolados.</w:t>
      </w:r>
    </w:p>
    <w:p w:rsidR="00EC1DA5" w:rsidRPr="0040649D" w:rsidRDefault="00EC1DA5" w:rsidP="00EC1DA5">
      <w:pPr>
        <w:jc w:val="both"/>
      </w:pPr>
    </w:p>
    <w:p w:rsidR="00EC1DA5" w:rsidRPr="0040649D" w:rsidRDefault="00EC1DA5" w:rsidP="00EC1DA5">
      <w:r w:rsidRPr="0040649D">
        <w:t>En general, existen las siguientes alternativas de materiales de impermeabilización:</w:t>
      </w:r>
    </w:p>
    <w:p w:rsidR="00EC1DA5" w:rsidRPr="0040649D" w:rsidRDefault="00EC1DA5" w:rsidP="00EC1DA5">
      <w:pPr>
        <w:numPr>
          <w:ilvl w:val="0"/>
          <w:numId w:val="32"/>
        </w:numPr>
        <w:tabs>
          <w:tab w:val="left" w:pos="709"/>
        </w:tabs>
        <w:spacing w:line="276" w:lineRule="auto"/>
        <w:ind w:left="1428" w:hanging="360"/>
        <w:jc w:val="both"/>
        <w:rPr>
          <w:szCs w:val="24"/>
        </w:rPr>
      </w:pPr>
      <w:r w:rsidRPr="0040649D">
        <w:rPr>
          <w:szCs w:val="24"/>
        </w:rPr>
        <w:t>arcilla compactada;</w:t>
      </w:r>
    </w:p>
    <w:p w:rsidR="00EC1DA5" w:rsidRPr="0040649D" w:rsidRDefault="00EC1DA5" w:rsidP="00EC1DA5">
      <w:pPr>
        <w:numPr>
          <w:ilvl w:val="0"/>
          <w:numId w:val="32"/>
        </w:numPr>
        <w:tabs>
          <w:tab w:val="left" w:pos="709"/>
        </w:tabs>
        <w:spacing w:line="276" w:lineRule="auto"/>
        <w:ind w:left="1428" w:hanging="360"/>
        <w:jc w:val="both"/>
        <w:rPr>
          <w:szCs w:val="24"/>
        </w:rPr>
      </w:pPr>
      <w:r w:rsidRPr="0040649D">
        <w:rPr>
          <w:szCs w:val="24"/>
        </w:rPr>
        <w:t>geomembrana de HDPE o PVC;</w:t>
      </w:r>
    </w:p>
    <w:p w:rsidR="00EC1DA5" w:rsidRPr="0040649D" w:rsidRDefault="00EC1DA5" w:rsidP="00EC1DA5">
      <w:pPr>
        <w:numPr>
          <w:ilvl w:val="0"/>
          <w:numId w:val="32"/>
        </w:numPr>
        <w:tabs>
          <w:tab w:val="left" w:pos="709"/>
        </w:tabs>
        <w:spacing w:line="276" w:lineRule="auto"/>
        <w:ind w:left="1428" w:hanging="360"/>
        <w:jc w:val="both"/>
        <w:rPr>
          <w:szCs w:val="24"/>
        </w:rPr>
      </w:pPr>
      <w:r w:rsidRPr="0040649D">
        <w:rPr>
          <w:szCs w:val="24"/>
        </w:rPr>
        <w:lastRenderedPageBreak/>
        <w:t>lámina de bentonita (GCL);</w:t>
      </w:r>
    </w:p>
    <w:p w:rsidR="00EC1DA5" w:rsidRPr="0040649D" w:rsidRDefault="00EC1DA5" w:rsidP="00EC1DA5">
      <w:pPr>
        <w:numPr>
          <w:ilvl w:val="0"/>
          <w:numId w:val="32"/>
        </w:numPr>
        <w:tabs>
          <w:tab w:val="left" w:pos="709"/>
        </w:tabs>
        <w:spacing w:line="276" w:lineRule="auto"/>
        <w:ind w:left="1428" w:hanging="360"/>
        <w:jc w:val="both"/>
        <w:rPr>
          <w:szCs w:val="24"/>
        </w:rPr>
      </w:pPr>
      <w:r w:rsidRPr="0040649D">
        <w:rPr>
          <w:szCs w:val="24"/>
        </w:rPr>
        <w:t>impermeabilización de asfalto especial;</w:t>
      </w:r>
    </w:p>
    <w:p w:rsidR="00EC1DA5" w:rsidRPr="0040649D" w:rsidRDefault="00EC1DA5" w:rsidP="00EC1DA5">
      <w:pPr>
        <w:numPr>
          <w:ilvl w:val="0"/>
          <w:numId w:val="32"/>
        </w:numPr>
        <w:tabs>
          <w:tab w:val="left" w:pos="709"/>
        </w:tabs>
        <w:spacing w:line="276" w:lineRule="auto"/>
        <w:ind w:left="1428" w:hanging="360"/>
        <w:jc w:val="both"/>
        <w:rPr>
          <w:szCs w:val="24"/>
        </w:rPr>
      </w:pPr>
      <w:r w:rsidRPr="0040649D">
        <w:rPr>
          <w:szCs w:val="24"/>
        </w:rPr>
        <w:t>materiales finos, por ejemplo relaves compactados o cenizas; y</w:t>
      </w:r>
    </w:p>
    <w:p w:rsidR="00EC1DA5" w:rsidRPr="0040649D" w:rsidRDefault="00EC1DA5" w:rsidP="00EC1DA5">
      <w:pPr>
        <w:numPr>
          <w:ilvl w:val="0"/>
          <w:numId w:val="32"/>
        </w:numPr>
        <w:tabs>
          <w:tab w:val="left" w:pos="709"/>
        </w:tabs>
        <w:spacing w:after="200" w:line="276" w:lineRule="auto"/>
        <w:ind w:left="1428" w:hanging="360"/>
        <w:jc w:val="both"/>
        <w:rPr>
          <w:szCs w:val="24"/>
        </w:rPr>
      </w:pPr>
      <w:r w:rsidRPr="0040649D">
        <w:rPr>
          <w:szCs w:val="24"/>
        </w:rPr>
        <w:t>combinaciones de ellos.</w:t>
      </w:r>
    </w:p>
    <w:p w:rsidR="00EC1DA5" w:rsidRDefault="00EC1DA5" w:rsidP="00EC1DA5">
      <w:r w:rsidRPr="0040649D">
        <w:t>Los requisitos del Reglamento de Rellenos Sanitarios D.S. N° 189/08 MINSAL con respecto a la impermeabilización basal son las siguientes:</w:t>
      </w:r>
    </w:p>
    <w:p w:rsidR="00EC1DA5" w:rsidRDefault="00EC1DA5" w:rsidP="00EC1DA5"/>
    <w:p w:rsidR="00EC1DA5" w:rsidRPr="00DF3D23" w:rsidRDefault="00EC1DA5" w:rsidP="00EC1DA5"/>
    <w:p w:rsidR="00EC1DA5" w:rsidRPr="0040649D" w:rsidRDefault="00EC1DA5" w:rsidP="00EC1DA5">
      <w:pPr>
        <w:pStyle w:val="Epgrafe"/>
        <w:jc w:val="center"/>
      </w:pPr>
      <w:bookmarkStart w:id="72" w:name="_Toc291599075"/>
      <w:bookmarkStart w:id="73" w:name="_Toc405237654"/>
      <w:r>
        <w:t xml:space="preserve">Tabla </w:t>
      </w:r>
      <w:r w:rsidR="00E733CF">
        <w:fldChar w:fldCharType="begin"/>
      </w:r>
      <w:r w:rsidR="00E733CF">
        <w:instrText xml:space="preserve"> STYLEREF 1 \s </w:instrText>
      </w:r>
      <w:r w:rsidR="00E733CF">
        <w:fldChar w:fldCharType="separate"/>
      </w:r>
      <w:r>
        <w:rPr>
          <w:noProof/>
        </w:rPr>
        <w:t>2</w:t>
      </w:r>
      <w:r w:rsidR="00E733CF">
        <w:rPr>
          <w:noProof/>
        </w:rPr>
        <w:fldChar w:fldCharType="end"/>
      </w:r>
      <w:r>
        <w:noBreakHyphen/>
      </w:r>
      <w:r w:rsidR="00E733CF">
        <w:fldChar w:fldCharType="begin"/>
      </w:r>
      <w:r w:rsidR="00E733CF">
        <w:instrText xml:space="preserve"> SEQ Tabla \* ARABIC \s 1 </w:instrText>
      </w:r>
      <w:r w:rsidR="00E733CF">
        <w:fldChar w:fldCharType="separate"/>
      </w:r>
      <w:r>
        <w:rPr>
          <w:noProof/>
        </w:rPr>
        <w:t>6</w:t>
      </w:r>
      <w:r w:rsidR="00E733CF">
        <w:rPr>
          <w:noProof/>
        </w:rPr>
        <w:fldChar w:fldCharType="end"/>
      </w:r>
      <w:r>
        <w:rPr>
          <w:noProof/>
        </w:rPr>
        <w:t xml:space="preserve"> </w:t>
      </w:r>
      <w:r w:rsidRPr="0040649D">
        <w:rPr>
          <w:noProof/>
        </w:rPr>
        <w:t>Requisitos de Impermeabilización Basal de Rellenos Sanitarios</w:t>
      </w:r>
      <w:bookmarkEnd w:id="72"/>
      <w:bookmarkEnd w:id="73"/>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1E0" w:firstRow="1" w:lastRow="1" w:firstColumn="1" w:lastColumn="1" w:noHBand="0" w:noVBand="0"/>
      </w:tblPr>
      <w:tblGrid>
        <w:gridCol w:w="2300"/>
        <w:gridCol w:w="5245"/>
      </w:tblGrid>
      <w:tr w:rsidR="00EC1DA5" w:rsidRPr="0040649D" w:rsidTr="002F1A55">
        <w:trPr>
          <w:trHeight w:val="500"/>
          <w:jc w:val="center"/>
        </w:trPr>
        <w:tc>
          <w:tcPr>
            <w:tcW w:w="2300" w:type="dxa"/>
            <w:tcBorders>
              <w:top w:val="single" w:sz="12" w:space="0" w:color="auto"/>
              <w:bottom w:val="single" w:sz="12" w:space="0" w:color="auto"/>
            </w:tcBorders>
            <w:shd w:val="pct20" w:color="auto" w:fill="auto"/>
            <w:vAlign w:val="center"/>
          </w:tcPr>
          <w:p w:rsidR="00EC1DA5" w:rsidRPr="0040649D" w:rsidRDefault="00EC1DA5" w:rsidP="002F1A55">
            <w:pPr>
              <w:numPr>
                <w:ilvl w:val="12"/>
                <w:numId w:val="0"/>
              </w:numPr>
              <w:tabs>
                <w:tab w:val="left" w:pos="-720"/>
              </w:tabs>
              <w:suppressAutoHyphens/>
              <w:jc w:val="center"/>
              <w:rPr>
                <w:b/>
                <w:spacing w:val="-3"/>
                <w:szCs w:val="24"/>
              </w:rPr>
            </w:pPr>
            <w:r w:rsidRPr="0040649D">
              <w:rPr>
                <w:b/>
                <w:spacing w:val="-3"/>
                <w:szCs w:val="24"/>
              </w:rPr>
              <w:t>Hab. Servidos</w:t>
            </w:r>
          </w:p>
        </w:tc>
        <w:tc>
          <w:tcPr>
            <w:tcW w:w="5245" w:type="dxa"/>
            <w:tcBorders>
              <w:top w:val="single" w:sz="12" w:space="0" w:color="auto"/>
              <w:bottom w:val="single" w:sz="12" w:space="0" w:color="auto"/>
            </w:tcBorders>
            <w:shd w:val="pct20" w:color="auto" w:fill="auto"/>
            <w:vAlign w:val="center"/>
          </w:tcPr>
          <w:p w:rsidR="00EC1DA5" w:rsidRPr="0040649D" w:rsidRDefault="00EC1DA5" w:rsidP="002F1A55">
            <w:pPr>
              <w:numPr>
                <w:ilvl w:val="12"/>
                <w:numId w:val="0"/>
              </w:numPr>
              <w:tabs>
                <w:tab w:val="left" w:pos="-720"/>
              </w:tabs>
              <w:suppressAutoHyphens/>
              <w:jc w:val="center"/>
              <w:rPr>
                <w:b/>
                <w:spacing w:val="-3"/>
                <w:szCs w:val="24"/>
              </w:rPr>
            </w:pPr>
            <w:r w:rsidRPr="0040649D">
              <w:rPr>
                <w:b/>
                <w:spacing w:val="-3"/>
                <w:szCs w:val="24"/>
              </w:rPr>
              <w:t>Descripción</w:t>
            </w:r>
          </w:p>
        </w:tc>
      </w:tr>
      <w:tr w:rsidR="00EC1DA5" w:rsidRPr="0040649D" w:rsidTr="002F1A55">
        <w:trPr>
          <w:jc w:val="center"/>
        </w:trPr>
        <w:tc>
          <w:tcPr>
            <w:tcW w:w="2300" w:type="dxa"/>
            <w:tcBorders>
              <w:top w:val="nil"/>
            </w:tcBorders>
            <w:vAlign w:val="center"/>
          </w:tcPr>
          <w:p w:rsidR="00EC1DA5" w:rsidRPr="0040649D" w:rsidRDefault="00EC1DA5" w:rsidP="002F1A55">
            <w:pPr>
              <w:numPr>
                <w:ilvl w:val="12"/>
                <w:numId w:val="0"/>
              </w:numPr>
              <w:tabs>
                <w:tab w:val="left" w:pos="-720"/>
              </w:tabs>
              <w:suppressAutoHyphens/>
              <w:jc w:val="center"/>
              <w:rPr>
                <w:spacing w:val="-3"/>
                <w:szCs w:val="24"/>
              </w:rPr>
            </w:pPr>
            <w:r w:rsidRPr="0040649D">
              <w:rPr>
                <w:spacing w:val="-3"/>
                <w:szCs w:val="24"/>
              </w:rPr>
              <w:t>&gt; 100.000 hab.</w:t>
            </w:r>
          </w:p>
        </w:tc>
        <w:tc>
          <w:tcPr>
            <w:tcW w:w="5245" w:type="dxa"/>
            <w:tcBorders>
              <w:top w:val="nil"/>
            </w:tcBorders>
          </w:tcPr>
          <w:p w:rsidR="00EC1DA5" w:rsidRPr="0040649D" w:rsidRDefault="00EC1DA5" w:rsidP="002F1A55">
            <w:pPr>
              <w:numPr>
                <w:ilvl w:val="12"/>
                <w:numId w:val="0"/>
              </w:numPr>
              <w:tabs>
                <w:tab w:val="left" w:pos="-720"/>
              </w:tabs>
              <w:suppressAutoHyphens/>
              <w:rPr>
                <w:spacing w:val="-3"/>
                <w:szCs w:val="24"/>
              </w:rPr>
            </w:pPr>
            <w:r w:rsidRPr="0040649D">
              <w:rPr>
                <w:spacing w:val="-3"/>
                <w:szCs w:val="24"/>
              </w:rPr>
              <w:t>Geomembrana de HDPE 1,5 mm o PE 0,75 mm</w:t>
            </w:r>
          </w:p>
          <w:p w:rsidR="00EC1DA5" w:rsidRPr="0040649D" w:rsidRDefault="00EC1DA5" w:rsidP="002F1A55">
            <w:pPr>
              <w:numPr>
                <w:ilvl w:val="12"/>
                <w:numId w:val="0"/>
              </w:numPr>
              <w:tabs>
                <w:tab w:val="left" w:pos="-720"/>
              </w:tabs>
              <w:suppressAutoHyphens/>
              <w:rPr>
                <w:spacing w:val="-3"/>
                <w:szCs w:val="24"/>
              </w:rPr>
            </w:pPr>
            <w:r w:rsidRPr="0040649D">
              <w:rPr>
                <w:spacing w:val="-3"/>
                <w:szCs w:val="24"/>
              </w:rPr>
              <w:t>Arcilla compactada, kf=10</w:t>
            </w:r>
            <w:r w:rsidRPr="0040649D">
              <w:rPr>
                <w:spacing w:val="-3"/>
                <w:szCs w:val="24"/>
                <w:vertAlign w:val="superscript"/>
              </w:rPr>
              <w:t>-9</w:t>
            </w:r>
            <w:r w:rsidRPr="0040649D">
              <w:rPr>
                <w:spacing w:val="-3"/>
                <w:szCs w:val="24"/>
              </w:rPr>
              <w:t>m/s, e=60 cm</w:t>
            </w:r>
          </w:p>
          <w:p w:rsidR="00EC1DA5" w:rsidRPr="0040649D" w:rsidRDefault="00EC1DA5" w:rsidP="002F1A55">
            <w:pPr>
              <w:numPr>
                <w:ilvl w:val="12"/>
                <w:numId w:val="0"/>
              </w:numPr>
              <w:tabs>
                <w:tab w:val="left" w:pos="-720"/>
              </w:tabs>
              <w:suppressAutoHyphens/>
              <w:rPr>
                <w:spacing w:val="-3"/>
                <w:szCs w:val="24"/>
              </w:rPr>
            </w:pPr>
            <w:r w:rsidRPr="0040649D">
              <w:rPr>
                <w:spacing w:val="-3"/>
                <w:szCs w:val="24"/>
              </w:rPr>
              <w:t>Barrera geológica, k</w:t>
            </w:r>
            <w:r w:rsidRPr="0040649D">
              <w:rPr>
                <w:spacing w:val="-3"/>
                <w:szCs w:val="24"/>
                <w:vertAlign w:val="subscript"/>
              </w:rPr>
              <w:t>f</w:t>
            </w:r>
            <w:r w:rsidRPr="0040649D">
              <w:rPr>
                <w:spacing w:val="-3"/>
                <w:szCs w:val="24"/>
              </w:rPr>
              <w:t>&lt;=10</w:t>
            </w:r>
            <w:r w:rsidRPr="0040649D">
              <w:rPr>
                <w:spacing w:val="-3"/>
                <w:szCs w:val="24"/>
                <w:vertAlign w:val="superscript"/>
              </w:rPr>
              <w:t>-7</w:t>
            </w:r>
            <w:r w:rsidRPr="0040649D">
              <w:rPr>
                <w:spacing w:val="-3"/>
                <w:szCs w:val="24"/>
              </w:rPr>
              <w:t>m/s, e&gt;= 3 m</w:t>
            </w:r>
          </w:p>
        </w:tc>
      </w:tr>
      <w:tr w:rsidR="00EC1DA5" w:rsidRPr="0040649D" w:rsidTr="002F1A55">
        <w:trPr>
          <w:jc w:val="center"/>
        </w:trPr>
        <w:tc>
          <w:tcPr>
            <w:tcW w:w="2300" w:type="dxa"/>
            <w:vAlign w:val="center"/>
          </w:tcPr>
          <w:p w:rsidR="00EC1DA5" w:rsidRPr="0040649D" w:rsidRDefault="00EC1DA5" w:rsidP="002F1A55">
            <w:pPr>
              <w:numPr>
                <w:ilvl w:val="12"/>
                <w:numId w:val="0"/>
              </w:numPr>
              <w:tabs>
                <w:tab w:val="left" w:pos="-720"/>
              </w:tabs>
              <w:suppressAutoHyphens/>
              <w:jc w:val="center"/>
              <w:rPr>
                <w:spacing w:val="-3"/>
                <w:szCs w:val="24"/>
              </w:rPr>
            </w:pPr>
            <w:r w:rsidRPr="0040649D">
              <w:rPr>
                <w:spacing w:val="-3"/>
                <w:szCs w:val="24"/>
              </w:rPr>
              <w:t>20.000 – 100.000 hab.</w:t>
            </w:r>
          </w:p>
        </w:tc>
        <w:tc>
          <w:tcPr>
            <w:tcW w:w="5245" w:type="dxa"/>
          </w:tcPr>
          <w:p w:rsidR="00EC1DA5" w:rsidRPr="0040649D" w:rsidRDefault="00EC1DA5" w:rsidP="002F1A55">
            <w:pPr>
              <w:numPr>
                <w:ilvl w:val="12"/>
                <w:numId w:val="0"/>
              </w:numPr>
              <w:tabs>
                <w:tab w:val="left" w:pos="-720"/>
              </w:tabs>
              <w:suppressAutoHyphens/>
              <w:rPr>
                <w:spacing w:val="-3"/>
                <w:szCs w:val="24"/>
              </w:rPr>
            </w:pPr>
            <w:r w:rsidRPr="0040649D">
              <w:rPr>
                <w:spacing w:val="-3"/>
                <w:szCs w:val="24"/>
              </w:rPr>
              <w:t>Arcilla compactada, kf=10</w:t>
            </w:r>
            <w:r w:rsidRPr="0040649D">
              <w:rPr>
                <w:spacing w:val="-3"/>
                <w:szCs w:val="24"/>
                <w:vertAlign w:val="superscript"/>
              </w:rPr>
              <w:t>-9</w:t>
            </w:r>
            <w:r w:rsidRPr="0040649D">
              <w:rPr>
                <w:spacing w:val="-3"/>
                <w:szCs w:val="24"/>
              </w:rPr>
              <w:t>m/s, e=60 cm</w:t>
            </w:r>
          </w:p>
          <w:p w:rsidR="00EC1DA5" w:rsidRPr="0040649D" w:rsidRDefault="00EC1DA5" w:rsidP="002F1A55">
            <w:pPr>
              <w:numPr>
                <w:ilvl w:val="12"/>
                <w:numId w:val="0"/>
              </w:numPr>
              <w:tabs>
                <w:tab w:val="left" w:pos="-720"/>
              </w:tabs>
              <w:suppressAutoHyphens/>
              <w:rPr>
                <w:spacing w:val="-3"/>
                <w:szCs w:val="24"/>
              </w:rPr>
            </w:pPr>
            <w:r w:rsidRPr="0040649D">
              <w:rPr>
                <w:spacing w:val="-3"/>
                <w:szCs w:val="24"/>
              </w:rPr>
              <w:t>Barrera geológica, k</w:t>
            </w:r>
            <w:r w:rsidRPr="0040649D">
              <w:rPr>
                <w:spacing w:val="-3"/>
                <w:szCs w:val="24"/>
                <w:vertAlign w:val="subscript"/>
              </w:rPr>
              <w:t>f</w:t>
            </w:r>
            <w:r w:rsidRPr="0040649D">
              <w:rPr>
                <w:spacing w:val="-3"/>
                <w:szCs w:val="24"/>
              </w:rPr>
              <w:t>&lt;=10</w:t>
            </w:r>
            <w:r w:rsidRPr="0040649D">
              <w:rPr>
                <w:spacing w:val="-3"/>
                <w:szCs w:val="24"/>
                <w:vertAlign w:val="superscript"/>
              </w:rPr>
              <w:t>-7</w:t>
            </w:r>
            <w:r w:rsidRPr="0040649D">
              <w:rPr>
                <w:spacing w:val="-3"/>
                <w:szCs w:val="24"/>
              </w:rPr>
              <w:t>m/s, e&gt;= 3 m</w:t>
            </w:r>
          </w:p>
        </w:tc>
      </w:tr>
      <w:tr w:rsidR="00EC1DA5" w:rsidRPr="0040649D" w:rsidTr="002F1A55">
        <w:trPr>
          <w:jc w:val="center"/>
        </w:trPr>
        <w:tc>
          <w:tcPr>
            <w:tcW w:w="2300" w:type="dxa"/>
            <w:vAlign w:val="center"/>
          </w:tcPr>
          <w:p w:rsidR="00EC1DA5" w:rsidRPr="0040649D" w:rsidRDefault="00EC1DA5" w:rsidP="002F1A55">
            <w:pPr>
              <w:numPr>
                <w:ilvl w:val="12"/>
                <w:numId w:val="0"/>
              </w:numPr>
              <w:tabs>
                <w:tab w:val="left" w:pos="-720"/>
              </w:tabs>
              <w:suppressAutoHyphens/>
              <w:jc w:val="center"/>
              <w:rPr>
                <w:spacing w:val="-3"/>
                <w:szCs w:val="24"/>
              </w:rPr>
            </w:pPr>
            <w:r w:rsidRPr="0040649D">
              <w:rPr>
                <w:spacing w:val="-3"/>
                <w:szCs w:val="24"/>
              </w:rPr>
              <w:t>&lt;20.000 hab.</w:t>
            </w:r>
          </w:p>
        </w:tc>
        <w:tc>
          <w:tcPr>
            <w:tcW w:w="5245" w:type="dxa"/>
          </w:tcPr>
          <w:p w:rsidR="00EC1DA5" w:rsidRPr="0040649D" w:rsidRDefault="00EC1DA5" w:rsidP="002F1A55">
            <w:pPr>
              <w:numPr>
                <w:ilvl w:val="12"/>
                <w:numId w:val="0"/>
              </w:numPr>
              <w:tabs>
                <w:tab w:val="left" w:pos="-720"/>
              </w:tabs>
              <w:suppressAutoHyphens/>
              <w:rPr>
                <w:spacing w:val="-3"/>
                <w:szCs w:val="24"/>
              </w:rPr>
            </w:pPr>
            <w:r w:rsidRPr="0040649D">
              <w:rPr>
                <w:spacing w:val="-3"/>
                <w:szCs w:val="24"/>
              </w:rPr>
              <w:t>Barrera geológica, k</w:t>
            </w:r>
            <w:r w:rsidRPr="0040649D">
              <w:rPr>
                <w:spacing w:val="-3"/>
                <w:szCs w:val="24"/>
                <w:vertAlign w:val="subscript"/>
              </w:rPr>
              <w:t>f</w:t>
            </w:r>
            <w:r w:rsidRPr="0040649D">
              <w:rPr>
                <w:spacing w:val="-3"/>
                <w:szCs w:val="24"/>
              </w:rPr>
              <w:t>&lt;=10</w:t>
            </w:r>
            <w:r w:rsidRPr="0040649D">
              <w:rPr>
                <w:spacing w:val="-3"/>
                <w:szCs w:val="24"/>
                <w:vertAlign w:val="superscript"/>
              </w:rPr>
              <w:t>-7</w:t>
            </w:r>
            <w:r w:rsidRPr="0040649D">
              <w:rPr>
                <w:spacing w:val="-3"/>
                <w:szCs w:val="24"/>
              </w:rPr>
              <w:t>m/s, e&gt;= 5 m</w:t>
            </w:r>
          </w:p>
        </w:tc>
      </w:tr>
    </w:tbl>
    <w:p w:rsidR="00EC1DA5" w:rsidRDefault="00EC1DA5" w:rsidP="00EC1DA5">
      <w:pPr>
        <w:jc w:val="center"/>
        <w:rPr>
          <w:i/>
          <w:sz w:val="18"/>
          <w:szCs w:val="18"/>
        </w:rPr>
      </w:pPr>
      <w:r>
        <w:rPr>
          <w:i/>
          <w:sz w:val="18"/>
          <w:szCs w:val="18"/>
        </w:rPr>
        <w:t>.</w:t>
      </w:r>
    </w:p>
    <w:p w:rsidR="00EC1DA5" w:rsidRPr="004844BB" w:rsidRDefault="00EC1DA5" w:rsidP="00EC1DA5">
      <w:pPr>
        <w:jc w:val="center"/>
        <w:rPr>
          <w:i/>
          <w:sz w:val="18"/>
          <w:szCs w:val="18"/>
        </w:rPr>
      </w:pPr>
    </w:p>
    <w:p w:rsidR="00EC1DA5" w:rsidRPr="0086140A" w:rsidRDefault="00EC1DA5" w:rsidP="00EC1DA5">
      <w:r w:rsidRPr="0086140A">
        <w:t>En muchos casos no hay arcilla natural con las características de permeabilidad requeridas, su costo puede ser elevado debido a las distancias de transporte y/o la compactación difícil debido a las condiciones climáticas.</w:t>
      </w:r>
    </w:p>
    <w:p w:rsidR="00EC1DA5" w:rsidRPr="0091155E" w:rsidRDefault="00EC1DA5" w:rsidP="00EC1DA5">
      <w:pPr>
        <w:pStyle w:val="ANEXOS"/>
        <w:numPr>
          <w:ilvl w:val="1"/>
          <w:numId w:val="18"/>
        </w:numPr>
        <w:jc w:val="left"/>
      </w:pPr>
      <w:bookmarkStart w:id="74" w:name="_Toc405010422"/>
      <w:bookmarkStart w:id="75" w:name="_Toc405237647"/>
      <w:r w:rsidRPr="0091155E">
        <w:t>Capa Superficial:</w:t>
      </w:r>
      <w:bookmarkEnd w:id="74"/>
      <w:bookmarkEnd w:id="75"/>
    </w:p>
    <w:p w:rsidR="00EC1DA5" w:rsidRPr="0040649D" w:rsidRDefault="00EC1DA5" w:rsidP="00EC1DA5">
      <w:r w:rsidRPr="0040649D">
        <w:t>La capa superficial del relleno sanitario tiene varias funciones. Las principales son:</w:t>
      </w:r>
    </w:p>
    <w:p w:rsidR="00EC1DA5" w:rsidRPr="0040649D" w:rsidRDefault="00EC1DA5" w:rsidP="00EC1DA5">
      <w:pPr>
        <w:numPr>
          <w:ilvl w:val="0"/>
          <w:numId w:val="33"/>
        </w:numPr>
        <w:tabs>
          <w:tab w:val="left" w:pos="709"/>
        </w:tabs>
        <w:spacing w:line="276" w:lineRule="auto"/>
        <w:ind w:left="709"/>
        <w:jc w:val="both"/>
        <w:rPr>
          <w:szCs w:val="24"/>
        </w:rPr>
      </w:pPr>
      <w:r w:rsidRPr="0040649D">
        <w:rPr>
          <w:szCs w:val="24"/>
        </w:rPr>
        <w:t>Drenar las aguas superficiales y aguas lluvia hacia los lados del depósito, es decir prevenir la infiltración de aguas lluvia y así disminuir la generación de líquidos percolados;</w:t>
      </w:r>
    </w:p>
    <w:p w:rsidR="00EC1DA5" w:rsidRPr="0040649D" w:rsidRDefault="00EC1DA5" w:rsidP="00EC1DA5">
      <w:pPr>
        <w:numPr>
          <w:ilvl w:val="0"/>
          <w:numId w:val="33"/>
        </w:numPr>
        <w:tabs>
          <w:tab w:val="left" w:pos="709"/>
        </w:tabs>
        <w:spacing w:line="276" w:lineRule="auto"/>
        <w:ind w:left="709"/>
        <w:jc w:val="both"/>
        <w:rPr>
          <w:szCs w:val="24"/>
        </w:rPr>
      </w:pPr>
      <w:r w:rsidRPr="0040649D">
        <w:rPr>
          <w:szCs w:val="24"/>
        </w:rPr>
        <w:t>Impedir la salida no-controlada de gases; y</w:t>
      </w:r>
    </w:p>
    <w:p w:rsidR="00EC1DA5" w:rsidRPr="0040649D" w:rsidRDefault="00EC1DA5" w:rsidP="00EC1DA5">
      <w:pPr>
        <w:numPr>
          <w:ilvl w:val="0"/>
          <w:numId w:val="33"/>
        </w:numPr>
        <w:tabs>
          <w:tab w:val="left" w:pos="709"/>
        </w:tabs>
        <w:spacing w:line="276" w:lineRule="auto"/>
        <w:ind w:left="709"/>
        <w:jc w:val="both"/>
        <w:rPr>
          <w:szCs w:val="24"/>
        </w:rPr>
      </w:pPr>
      <w:r w:rsidRPr="0040649D">
        <w:rPr>
          <w:szCs w:val="24"/>
        </w:rPr>
        <w:t>Reintegrar el relleno al paisaje.</w:t>
      </w:r>
    </w:p>
    <w:p w:rsidR="00EC1DA5" w:rsidRDefault="00EC1DA5" w:rsidP="00EC1DA5"/>
    <w:p w:rsidR="00EC1DA5" w:rsidRPr="0091155E" w:rsidRDefault="00EC1DA5" w:rsidP="00EC1DA5">
      <w:pPr>
        <w:pStyle w:val="ANEXOS"/>
        <w:numPr>
          <w:ilvl w:val="1"/>
          <w:numId w:val="18"/>
        </w:numPr>
        <w:jc w:val="left"/>
      </w:pPr>
      <w:bookmarkStart w:id="76" w:name="_Toc405010423"/>
      <w:bookmarkStart w:id="77" w:name="_Toc405237648"/>
      <w:r w:rsidRPr="0091155E">
        <w:t>Control de Gases:</w:t>
      </w:r>
      <w:bookmarkEnd w:id="76"/>
      <w:bookmarkEnd w:id="77"/>
    </w:p>
    <w:p w:rsidR="00EC1DA5" w:rsidRPr="0040649D" w:rsidRDefault="00EC1DA5" w:rsidP="00EC1DA5">
      <w:pPr>
        <w:jc w:val="both"/>
      </w:pPr>
      <w:r w:rsidRPr="0040649D">
        <w:t>En general, a partir del año dos o tres de operación de un relleno sanitario se producen gases a causa de la descomposición anaeróbica de los residuos orgánicos depositados. Los objetivos de la captación y de un eventual tratamiento de los gases consisten en:</w:t>
      </w:r>
    </w:p>
    <w:p w:rsidR="00EC1DA5" w:rsidRPr="0040649D" w:rsidRDefault="00EC1DA5" w:rsidP="00EC1DA5">
      <w:pPr>
        <w:numPr>
          <w:ilvl w:val="0"/>
          <w:numId w:val="32"/>
        </w:numPr>
        <w:tabs>
          <w:tab w:val="left" w:pos="709"/>
        </w:tabs>
        <w:spacing w:line="276" w:lineRule="auto"/>
        <w:ind w:left="1068" w:hanging="360"/>
        <w:jc w:val="both"/>
        <w:rPr>
          <w:szCs w:val="24"/>
        </w:rPr>
      </w:pPr>
      <w:r w:rsidRPr="0040649D">
        <w:rPr>
          <w:szCs w:val="24"/>
        </w:rPr>
        <w:t>evitar las emisiones de sustancias nocivas contenidas en el gas;</w:t>
      </w:r>
    </w:p>
    <w:p w:rsidR="00EC1DA5" w:rsidRPr="0040649D" w:rsidRDefault="00EC1DA5" w:rsidP="00EC1DA5">
      <w:pPr>
        <w:numPr>
          <w:ilvl w:val="0"/>
          <w:numId w:val="32"/>
        </w:numPr>
        <w:tabs>
          <w:tab w:val="left" w:pos="709"/>
        </w:tabs>
        <w:spacing w:line="276" w:lineRule="auto"/>
        <w:ind w:left="1068" w:hanging="360"/>
        <w:jc w:val="both"/>
        <w:rPr>
          <w:szCs w:val="24"/>
        </w:rPr>
      </w:pPr>
      <w:r w:rsidRPr="0040649D">
        <w:rPr>
          <w:szCs w:val="24"/>
        </w:rPr>
        <w:t xml:space="preserve">controlar riesgos de incendios; </w:t>
      </w:r>
    </w:p>
    <w:p w:rsidR="00EC1DA5" w:rsidRPr="0040649D" w:rsidRDefault="00EC1DA5" w:rsidP="00EC1DA5">
      <w:pPr>
        <w:numPr>
          <w:ilvl w:val="0"/>
          <w:numId w:val="32"/>
        </w:numPr>
        <w:tabs>
          <w:tab w:val="left" w:pos="709"/>
        </w:tabs>
        <w:spacing w:after="200" w:line="276" w:lineRule="auto"/>
        <w:ind w:left="1068" w:hanging="360"/>
        <w:jc w:val="both"/>
        <w:rPr>
          <w:szCs w:val="24"/>
        </w:rPr>
      </w:pPr>
      <w:r w:rsidRPr="0040649D">
        <w:rPr>
          <w:szCs w:val="24"/>
        </w:rPr>
        <w:t>minimizar la emisión de gases invernaderos (metano).</w:t>
      </w:r>
    </w:p>
    <w:p w:rsidR="00EC1DA5" w:rsidRPr="0040649D" w:rsidRDefault="00EC1DA5" w:rsidP="00EC1DA5">
      <w:pPr>
        <w:spacing w:after="240"/>
        <w:jc w:val="both"/>
      </w:pPr>
      <w:r w:rsidRPr="0040649D">
        <w:t xml:space="preserve">Los sistemas de captación de gases pueden construirse en forma vertical </w:t>
      </w:r>
      <w:r>
        <w:t>u</w:t>
      </w:r>
      <w:r w:rsidRPr="0040649D">
        <w:t xml:space="preserve"> horizont</w:t>
      </w:r>
      <w:r>
        <w:t>al</w:t>
      </w:r>
      <w:r w:rsidRPr="0040649D">
        <w:t>. Además, para impedir migraciones no controladas de los gases se considera una impermeabilización superficial del relleno y, en algunos casos, una ventilación forzada.</w:t>
      </w:r>
      <w:r>
        <w:t xml:space="preserve"> </w:t>
      </w:r>
      <w:r w:rsidRPr="0040649D">
        <w:t xml:space="preserve">Los gases inflamables se eliminan por medio de una antorcha de alta temperatura o se les utiliza para la generación de energía, eventualmente aplicando su purificación anterior. </w:t>
      </w:r>
    </w:p>
    <w:p w:rsidR="00EC1DA5" w:rsidRPr="0091155E" w:rsidRDefault="00EC1DA5" w:rsidP="00EC1DA5">
      <w:pPr>
        <w:pStyle w:val="ANEXOS"/>
        <w:numPr>
          <w:ilvl w:val="1"/>
          <w:numId w:val="18"/>
        </w:numPr>
        <w:jc w:val="left"/>
      </w:pPr>
      <w:bookmarkStart w:id="78" w:name="_Toc405010424"/>
      <w:bookmarkStart w:id="79" w:name="_Toc405237649"/>
      <w:r w:rsidRPr="0091155E">
        <w:lastRenderedPageBreak/>
        <w:t>Manejo de Líquidos Percolados:</w:t>
      </w:r>
      <w:bookmarkEnd w:id="78"/>
      <w:bookmarkEnd w:id="79"/>
    </w:p>
    <w:p w:rsidR="00EC1DA5" w:rsidRPr="0040649D" w:rsidRDefault="00EC1DA5" w:rsidP="00EC1DA5">
      <w:r w:rsidRPr="0040649D">
        <w:t xml:space="preserve">Debido a los procesos de descomposición biológica, la humedad de los desechos y la infiltración de aguas lluvia, se generan líquidos percolados en el depósito de desechos. </w:t>
      </w:r>
    </w:p>
    <w:p w:rsidR="00EC1DA5" w:rsidRPr="0040649D" w:rsidRDefault="00EC1DA5" w:rsidP="00EC1DA5">
      <w:r w:rsidRPr="0040649D">
        <w:t>Un manejo adecuado de los líquidos percolados incluye las siguientes medidas:</w:t>
      </w:r>
    </w:p>
    <w:p w:rsidR="00EC1DA5" w:rsidRPr="0040649D" w:rsidRDefault="00EC1DA5" w:rsidP="00EC1DA5">
      <w:pPr>
        <w:numPr>
          <w:ilvl w:val="0"/>
          <w:numId w:val="32"/>
        </w:numPr>
        <w:tabs>
          <w:tab w:val="left" w:pos="709"/>
        </w:tabs>
        <w:spacing w:line="276" w:lineRule="auto"/>
        <w:ind w:left="1068" w:hanging="360"/>
        <w:jc w:val="both"/>
        <w:rPr>
          <w:szCs w:val="24"/>
        </w:rPr>
      </w:pPr>
      <w:r w:rsidRPr="0040649D">
        <w:rPr>
          <w:szCs w:val="24"/>
        </w:rPr>
        <w:t>la operación debe considerar etapas con sectores definidos, con superficies reducidas</w:t>
      </w:r>
    </w:p>
    <w:p w:rsidR="00EC1DA5" w:rsidRPr="0040649D" w:rsidRDefault="00EC1DA5" w:rsidP="00EC1DA5">
      <w:pPr>
        <w:numPr>
          <w:ilvl w:val="0"/>
          <w:numId w:val="32"/>
        </w:numPr>
        <w:tabs>
          <w:tab w:val="left" w:pos="709"/>
        </w:tabs>
        <w:spacing w:line="276" w:lineRule="auto"/>
        <w:ind w:left="1068" w:hanging="360"/>
        <w:jc w:val="both"/>
        <w:rPr>
          <w:szCs w:val="24"/>
        </w:rPr>
      </w:pPr>
      <w:r w:rsidRPr="0040649D">
        <w:rPr>
          <w:szCs w:val="24"/>
        </w:rPr>
        <w:t>el cubrimiento diario de los desechos</w:t>
      </w:r>
    </w:p>
    <w:p w:rsidR="00EC1DA5" w:rsidRPr="0040649D" w:rsidRDefault="00EC1DA5" w:rsidP="00EC1DA5">
      <w:pPr>
        <w:numPr>
          <w:ilvl w:val="0"/>
          <w:numId w:val="32"/>
        </w:numPr>
        <w:tabs>
          <w:tab w:val="left" w:pos="709"/>
        </w:tabs>
        <w:spacing w:line="276" w:lineRule="auto"/>
        <w:ind w:left="1068" w:hanging="360"/>
        <w:jc w:val="both"/>
        <w:rPr>
          <w:szCs w:val="24"/>
        </w:rPr>
      </w:pPr>
      <w:r w:rsidRPr="0040649D">
        <w:rPr>
          <w:szCs w:val="24"/>
        </w:rPr>
        <w:t>la capa de impermeabilización de fondo</w:t>
      </w:r>
    </w:p>
    <w:p w:rsidR="00EC1DA5" w:rsidRPr="0040649D" w:rsidRDefault="00EC1DA5" w:rsidP="00EC1DA5">
      <w:pPr>
        <w:numPr>
          <w:ilvl w:val="0"/>
          <w:numId w:val="32"/>
        </w:numPr>
        <w:tabs>
          <w:tab w:val="left" w:pos="709"/>
        </w:tabs>
        <w:spacing w:after="200" w:line="276" w:lineRule="auto"/>
        <w:ind w:left="1068" w:hanging="360"/>
        <w:jc w:val="both"/>
        <w:rPr>
          <w:szCs w:val="24"/>
        </w:rPr>
      </w:pPr>
      <w:r w:rsidRPr="0040649D">
        <w:rPr>
          <w:szCs w:val="24"/>
        </w:rPr>
        <w:t>el manejo de aguas superficiales</w:t>
      </w:r>
    </w:p>
    <w:p w:rsidR="00EC1DA5" w:rsidRPr="0040649D" w:rsidRDefault="00EC1DA5" w:rsidP="00EC1DA5">
      <w:pPr>
        <w:jc w:val="both"/>
      </w:pPr>
      <w:r w:rsidRPr="0040649D">
        <w:t>En caso de existir una capa básica de impermeabilización, se requiere captar y evacuar los líquidos percolados acumulados en el fondo del relleno. De otro modo la acumulación de los líquidos llevaría a problemas de estabilidad del relleno o, en el caso de alguna falla en la impermeabilización, la infiltración al subsuelo.</w:t>
      </w:r>
    </w:p>
    <w:p w:rsidR="00EC1DA5" w:rsidRDefault="00EC1DA5" w:rsidP="00EC1DA5">
      <w:pPr>
        <w:jc w:val="both"/>
      </w:pPr>
      <w:r w:rsidRPr="0040649D">
        <w:t xml:space="preserve">En general, el tratamiento de los líquidos percolados, previa a la descarga a un cuerpo receptor o alcantarillado, contempla un tratamiento mecánico y biológico, en algunos casos se ocupan procesos físicos-químicos de precipitación, floculación o procesos de membrana. </w:t>
      </w:r>
    </w:p>
    <w:p w:rsidR="00EC1DA5" w:rsidRPr="0040649D" w:rsidRDefault="00EC1DA5" w:rsidP="00EC1DA5"/>
    <w:p w:rsidR="00EC1DA5" w:rsidRPr="00464AD7" w:rsidRDefault="00EC1DA5" w:rsidP="00EC1DA5">
      <w:pPr>
        <w:pStyle w:val="ANEXOS"/>
        <w:numPr>
          <w:ilvl w:val="1"/>
          <w:numId w:val="18"/>
        </w:numPr>
        <w:jc w:val="left"/>
      </w:pPr>
      <w:bookmarkStart w:id="80" w:name="_Toc405010425"/>
      <w:bookmarkStart w:id="81" w:name="_Toc405237650"/>
      <w:r w:rsidRPr="00464AD7">
        <w:t>Operación y Abandono:</w:t>
      </w:r>
      <w:bookmarkEnd w:id="80"/>
      <w:bookmarkEnd w:id="81"/>
      <w:r w:rsidRPr="00464AD7">
        <w:t xml:space="preserve"> </w:t>
      </w:r>
    </w:p>
    <w:p w:rsidR="00EC1DA5" w:rsidRDefault="00EC1DA5" w:rsidP="00EC1DA5">
      <w:pPr>
        <w:jc w:val="both"/>
      </w:pPr>
      <w:r w:rsidRPr="0040649D">
        <w:t>La operación del relleno sanitario es una componente importante del concepto de multibarreras</w:t>
      </w:r>
      <w:r>
        <w:t xml:space="preserve"> y</w:t>
      </w:r>
      <w:r w:rsidRPr="0040649D">
        <w:t xml:space="preserve"> comprende los siguientes elementos:</w:t>
      </w:r>
    </w:p>
    <w:p w:rsidR="00EC1DA5" w:rsidRPr="0040649D" w:rsidRDefault="00EC1DA5" w:rsidP="00EC1DA5"/>
    <w:p w:rsidR="00EC1DA5" w:rsidRDefault="00EC1DA5" w:rsidP="00EC1DA5">
      <w:pPr>
        <w:tabs>
          <w:tab w:val="left" w:pos="709"/>
        </w:tabs>
        <w:spacing w:after="120"/>
        <w:rPr>
          <w:szCs w:val="24"/>
          <w:u w:val="single"/>
        </w:rPr>
      </w:pPr>
      <w:r w:rsidRPr="00464AD7">
        <w:rPr>
          <w:szCs w:val="24"/>
          <w:u w:val="single"/>
        </w:rPr>
        <w:t>Plan de Operación:</w:t>
      </w:r>
    </w:p>
    <w:p w:rsidR="00EC1DA5" w:rsidRDefault="00EC1DA5" w:rsidP="00EC1DA5">
      <w:pPr>
        <w:tabs>
          <w:tab w:val="left" w:pos="709"/>
        </w:tabs>
        <w:jc w:val="both"/>
        <w:rPr>
          <w:szCs w:val="24"/>
        </w:rPr>
      </w:pPr>
      <w:r w:rsidRPr="0040649D">
        <w:rPr>
          <w:szCs w:val="24"/>
        </w:rPr>
        <w:t>Incluye la documentación del diseño del relleno sanitario con indicaciones de los sectores de depósitos de residuos, secuencia de relleno, operaciones para la incorporación de los desechos, los sistemas de control de líquidos percolados, gases, aguas lluvia y superficiales, monitoreo y programa de vigilancia, así como regulaciones esenciales para la operación del vertedero.</w:t>
      </w:r>
    </w:p>
    <w:p w:rsidR="00EC1DA5" w:rsidRPr="0040649D" w:rsidRDefault="00EC1DA5" w:rsidP="00EC1DA5">
      <w:pPr>
        <w:tabs>
          <w:tab w:val="left" w:pos="709"/>
        </w:tabs>
        <w:jc w:val="both"/>
        <w:rPr>
          <w:szCs w:val="24"/>
        </w:rPr>
      </w:pPr>
    </w:p>
    <w:p w:rsidR="00EC1DA5" w:rsidRDefault="00EC1DA5" w:rsidP="00EC1DA5">
      <w:pPr>
        <w:tabs>
          <w:tab w:val="left" w:pos="284"/>
          <w:tab w:val="left" w:pos="709"/>
        </w:tabs>
        <w:spacing w:after="120"/>
        <w:rPr>
          <w:szCs w:val="24"/>
          <w:u w:val="single"/>
        </w:rPr>
      </w:pPr>
      <w:r w:rsidRPr="00464AD7">
        <w:rPr>
          <w:szCs w:val="24"/>
          <w:u w:val="single"/>
        </w:rPr>
        <w:t>Controles en la Recepción:</w:t>
      </w:r>
    </w:p>
    <w:p w:rsidR="00EC1DA5" w:rsidRDefault="00EC1DA5" w:rsidP="00EC1DA5">
      <w:pPr>
        <w:tabs>
          <w:tab w:val="left" w:pos="284"/>
          <w:tab w:val="left" w:pos="709"/>
        </w:tabs>
        <w:jc w:val="both"/>
      </w:pPr>
      <w:r w:rsidRPr="00DD05BC">
        <w:rPr>
          <w:szCs w:val="24"/>
        </w:rPr>
        <w:t xml:space="preserve"> Se refiere al pesaje, determinación del volumen, clasificación de los residuos, inspección visual y el análisis de muestras puntuales. Debe </w:t>
      </w:r>
      <w:r>
        <w:rPr>
          <w:szCs w:val="24"/>
        </w:rPr>
        <w:t>e</w:t>
      </w:r>
      <w:r w:rsidRPr="00DD05BC">
        <w:rPr>
          <w:szCs w:val="24"/>
        </w:rPr>
        <w:t>levarse un registro de los parámetros más importantes</w:t>
      </w:r>
      <w:r>
        <w:rPr>
          <w:szCs w:val="24"/>
        </w:rPr>
        <w:t xml:space="preserve">, para </w:t>
      </w:r>
      <w:r w:rsidRPr="0040649D">
        <w:t>evitar los depósitos de residuos industriales no-asimilables a los de origen domiciliario.</w:t>
      </w:r>
    </w:p>
    <w:p w:rsidR="00EC1DA5" w:rsidRDefault="00EC1DA5" w:rsidP="00EC1DA5">
      <w:pPr>
        <w:tabs>
          <w:tab w:val="left" w:pos="284"/>
          <w:tab w:val="left" w:pos="709"/>
        </w:tabs>
        <w:jc w:val="both"/>
      </w:pPr>
    </w:p>
    <w:p w:rsidR="00EC1DA5" w:rsidRDefault="00EC1DA5" w:rsidP="00EC1DA5">
      <w:pPr>
        <w:tabs>
          <w:tab w:val="left" w:pos="709"/>
        </w:tabs>
        <w:spacing w:after="120"/>
        <w:rPr>
          <w:szCs w:val="24"/>
          <w:u w:val="single"/>
        </w:rPr>
      </w:pPr>
      <w:r w:rsidRPr="00464AD7">
        <w:rPr>
          <w:szCs w:val="24"/>
          <w:u w:val="single"/>
        </w:rPr>
        <w:t>Incorporación de los desechos:</w:t>
      </w:r>
    </w:p>
    <w:p w:rsidR="00EC1DA5" w:rsidRDefault="00EC1DA5" w:rsidP="00EC1DA5">
      <w:pPr>
        <w:tabs>
          <w:tab w:val="left" w:pos="709"/>
        </w:tabs>
        <w:jc w:val="both"/>
        <w:rPr>
          <w:szCs w:val="24"/>
        </w:rPr>
      </w:pPr>
      <w:r w:rsidRPr="0040649D">
        <w:rPr>
          <w:szCs w:val="24"/>
        </w:rPr>
        <w:t xml:space="preserve"> Debe realizarse con un mínimo de vacíos en los desechos depositados, es decir la compactación con un bulldozer o compactador de rodillas. De esta manera se minimizan los asentamientos posteriores, inestabilidades y se aprovecha de mejor forma la capacidad del depósito. En la medida que los sectores o celdas de desechos se completan se coloca una capa intermedia para evitar la generación de emisiones, olores o la proliferación de vectores sanitarios.</w:t>
      </w:r>
    </w:p>
    <w:p w:rsidR="00EC1DA5" w:rsidRPr="0040649D" w:rsidRDefault="00EC1DA5" w:rsidP="00EC1DA5">
      <w:pPr>
        <w:tabs>
          <w:tab w:val="left" w:pos="709"/>
        </w:tabs>
        <w:jc w:val="both"/>
        <w:rPr>
          <w:szCs w:val="24"/>
        </w:rPr>
      </w:pPr>
    </w:p>
    <w:p w:rsidR="00EC1DA5" w:rsidRDefault="00EC1DA5" w:rsidP="00EC1DA5">
      <w:pPr>
        <w:tabs>
          <w:tab w:val="left" w:pos="709"/>
        </w:tabs>
        <w:spacing w:after="120"/>
        <w:rPr>
          <w:szCs w:val="24"/>
          <w:u w:val="single"/>
        </w:rPr>
      </w:pPr>
      <w:r w:rsidRPr="00464AD7">
        <w:rPr>
          <w:szCs w:val="24"/>
          <w:u w:val="single"/>
        </w:rPr>
        <w:t>Monitoreo:</w:t>
      </w:r>
    </w:p>
    <w:p w:rsidR="00EC1DA5" w:rsidRDefault="00EC1DA5" w:rsidP="00EC1DA5">
      <w:pPr>
        <w:tabs>
          <w:tab w:val="left" w:pos="709"/>
        </w:tabs>
        <w:jc w:val="both"/>
        <w:rPr>
          <w:szCs w:val="24"/>
        </w:rPr>
      </w:pPr>
      <w:r w:rsidRPr="0040649D">
        <w:rPr>
          <w:szCs w:val="24"/>
        </w:rPr>
        <w:t>Comprende un sistema de monitoreo de las aguas subterráneas, mediciones del asentamiento del relleno, mediciones meteorológicos, monitoreo de los caudales y de la calidad de los líquidos percolados, e instalaciones para la medición de la temperatura en la base del relleno sanitario. Se requiere la documentación de estos parámetros.</w:t>
      </w:r>
    </w:p>
    <w:p w:rsidR="00EC1DA5" w:rsidRPr="0040649D" w:rsidRDefault="00EC1DA5" w:rsidP="00EC1DA5">
      <w:pPr>
        <w:tabs>
          <w:tab w:val="left" w:pos="709"/>
        </w:tabs>
        <w:jc w:val="both"/>
        <w:rPr>
          <w:szCs w:val="24"/>
        </w:rPr>
      </w:pPr>
    </w:p>
    <w:p w:rsidR="00EC1DA5" w:rsidRDefault="00EC1DA5" w:rsidP="00EC1DA5">
      <w:pPr>
        <w:tabs>
          <w:tab w:val="left" w:pos="709"/>
        </w:tabs>
        <w:spacing w:after="120"/>
        <w:rPr>
          <w:szCs w:val="24"/>
          <w:u w:val="single"/>
        </w:rPr>
      </w:pPr>
      <w:r w:rsidRPr="00464AD7">
        <w:rPr>
          <w:szCs w:val="24"/>
          <w:u w:val="single"/>
        </w:rPr>
        <w:t>Plan de Cierre y Abandono:</w:t>
      </w:r>
    </w:p>
    <w:p w:rsidR="00EC1DA5" w:rsidRDefault="00EC1DA5" w:rsidP="00EC1DA5">
      <w:pPr>
        <w:tabs>
          <w:tab w:val="left" w:pos="709"/>
        </w:tabs>
        <w:rPr>
          <w:szCs w:val="24"/>
        </w:rPr>
      </w:pPr>
      <w:r w:rsidRPr="0040649D">
        <w:rPr>
          <w:szCs w:val="24"/>
        </w:rPr>
        <w:t>Incluye la colocación de la capa final, revegetación</w:t>
      </w:r>
      <w:r>
        <w:rPr>
          <w:szCs w:val="24"/>
        </w:rPr>
        <w:t xml:space="preserve"> de la superficie (con un espesor mínimo de 60cm)</w:t>
      </w:r>
      <w:r w:rsidRPr="0040649D">
        <w:rPr>
          <w:szCs w:val="24"/>
        </w:rPr>
        <w:t>, la operación de los sistemas de control de líquidos percolados y gases, entre otros.</w:t>
      </w:r>
    </w:p>
    <w:p w:rsidR="00EC1DA5" w:rsidRDefault="00EC1DA5" w:rsidP="00EC1DA5">
      <w:r w:rsidRPr="0040649D">
        <w:t xml:space="preserve">En </w:t>
      </w:r>
      <w:r w:rsidR="00D61157">
        <w:t xml:space="preserve">la mayoría de los casos </w:t>
      </w:r>
      <w:r w:rsidRPr="0040649D">
        <w:t xml:space="preserve">entrará obligatoriamente al Sistema de Evaluación de Impacto Ambiental (SEIA), probablemente por un Estudio de Impacto Ambiental (EIA). </w:t>
      </w:r>
    </w:p>
    <w:p w:rsidR="00EC1DA5" w:rsidRPr="0040649D" w:rsidRDefault="00EC1DA5" w:rsidP="00EC1DA5"/>
    <w:p w:rsidR="00EC1DA5" w:rsidRPr="0040649D" w:rsidRDefault="00EC1DA5" w:rsidP="00EC1DA5">
      <w:bookmarkStart w:id="82" w:name="_Toc226953252"/>
    </w:p>
    <w:p w:rsidR="00EC1DA5" w:rsidRPr="00BB576E" w:rsidRDefault="00EC1DA5" w:rsidP="00EC1DA5">
      <w:pPr>
        <w:spacing w:after="120"/>
        <w:rPr>
          <w:i/>
        </w:rPr>
      </w:pPr>
      <w:r w:rsidRPr="00BB576E">
        <w:rPr>
          <w:i/>
        </w:rPr>
        <w:t>Costos v/s Beneficios</w:t>
      </w:r>
      <w:bookmarkEnd w:id="82"/>
    </w:p>
    <w:p w:rsidR="00EC1DA5" w:rsidRDefault="00EC1DA5" w:rsidP="00D61157">
      <w:pPr>
        <w:jc w:val="both"/>
      </w:pPr>
      <w:r w:rsidRPr="00BB576E">
        <w:t>Dependiendo del tamaño del relleno sanitario, los costos de disposición final de los residuos varían entre $5.000 y $30.000 (considerando un tamaño de entre 50.000 y 300.000 habitantes servidos).</w:t>
      </w:r>
      <w:r>
        <w:t xml:space="preserve"> </w:t>
      </w:r>
      <w:r w:rsidRPr="0040649D">
        <w:t>La disposición final de los residuos en tierra prácticamente no tiene beneficios (fuera del servicio de disposición final); a contrario trae una serie de emisiones, riesgos y, por lo tanto, costos indirectos:</w:t>
      </w:r>
    </w:p>
    <w:p w:rsidR="00D61157" w:rsidRPr="0040649D" w:rsidRDefault="00D61157" w:rsidP="00D61157">
      <w:pPr>
        <w:jc w:val="both"/>
      </w:pPr>
    </w:p>
    <w:p w:rsidR="00EC1DA5" w:rsidRPr="0040649D" w:rsidRDefault="00D61157" w:rsidP="00EC1DA5">
      <w:pPr>
        <w:numPr>
          <w:ilvl w:val="0"/>
          <w:numId w:val="32"/>
        </w:numPr>
        <w:tabs>
          <w:tab w:val="left" w:pos="709"/>
        </w:tabs>
        <w:spacing w:line="276" w:lineRule="auto"/>
        <w:ind w:left="360" w:hanging="360"/>
        <w:jc w:val="both"/>
        <w:rPr>
          <w:szCs w:val="24"/>
        </w:rPr>
      </w:pPr>
      <w:r>
        <w:rPr>
          <w:szCs w:val="24"/>
        </w:rPr>
        <w:t xml:space="preserve">Potencial </w:t>
      </w:r>
      <w:r w:rsidR="00EC1DA5" w:rsidRPr="0040649D">
        <w:rPr>
          <w:szCs w:val="24"/>
        </w:rPr>
        <w:t>Pérdida de plusvalía de los terrenos aledaños (restricciones de uso);</w:t>
      </w:r>
    </w:p>
    <w:p w:rsidR="00EC1DA5" w:rsidRPr="0040649D" w:rsidRDefault="00D61157" w:rsidP="00EC1DA5">
      <w:pPr>
        <w:numPr>
          <w:ilvl w:val="0"/>
          <w:numId w:val="32"/>
        </w:numPr>
        <w:tabs>
          <w:tab w:val="left" w:pos="709"/>
        </w:tabs>
        <w:spacing w:line="276" w:lineRule="auto"/>
        <w:ind w:left="360" w:hanging="360"/>
        <w:jc w:val="both"/>
        <w:rPr>
          <w:szCs w:val="24"/>
        </w:rPr>
      </w:pPr>
      <w:r>
        <w:rPr>
          <w:szCs w:val="24"/>
        </w:rPr>
        <w:t xml:space="preserve">Potencial </w:t>
      </w:r>
      <w:r w:rsidR="00EC1DA5" w:rsidRPr="0040649D">
        <w:rPr>
          <w:szCs w:val="24"/>
        </w:rPr>
        <w:t>Emisiones de olores;</w:t>
      </w:r>
    </w:p>
    <w:p w:rsidR="00EC1DA5" w:rsidRDefault="00EC1DA5" w:rsidP="00EC1DA5">
      <w:pPr>
        <w:numPr>
          <w:ilvl w:val="0"/>
          <w:numId w:val="32"/>
        </w:numPr>
        <w:tabs>
          <w:tab w:val="left" w:pos="709"/>
        </w:tabs>
        <w:spacing w:line="276" w:lineRule="auto"/>
        <w:ind w:left="360" w:hanging="360"/>
        <w:jc w:val="both"/>
        <w:rPr>
          <w:szCs w:val="24"/>
        </w:rPr>
      </w:pPr>
      <w:r w:rsidRPr="0040649D">
        <w:rPr>
          <w:szCs w:val="24"/>
        </w:rPr>
        <w:t>Emisiones de gases invernaderos (metano, dióxido de carbono).</w:t>
      </w:r>
    </w:p>
    <w:p w:rsidR="00EC1DA5" w:rsidRDefault="00D61157" w:rsidP="00EC1DA5">
      <w:pPr>
        <w:tabs>
          <w:tab w:val="left" w:pos="709"/>
        </w:tabs>
        <w:rPr>
          <w:szCs w:val="24"/>
        </w:rPr>
      </w:pPr>
      <w:r>
        <w:rPr>
          <w:szCs w:val="24"/>
        </w:rPr>
        <w:t>++Bien construidos y operados son una solución de baja complejidad técnica (salvo los mayores a 100 mil hab), y satisfactorio rendimiento ambiental.</w:t>
      </w:r>
    </w:p>
    <w:p w:rsidR="00EC1DA5" w:rsidRDefault="00EC1DA5" w:rsidP="00D61157">
      <w:pPr>
        <w:spacing w:before="240"/>
        <w:jc w:val="both"/>
      </w:pPr>
      <w:r>
        <w:rPr>
          <w:szCs w:val="24"/>
        </w:rPr>
        <w:t>C</w:t>
      </w:r>
      <w:r w:rsidRPr="0040649D">
        <w:rPr>
          <w:szCs w:val="24"/>
        </w:rPr>
        <w:t>on excepción de las emisiones de gases invernaderos, es casi imposible valorizar estas externalidades. Una vez en operación y sobre la base de los volúmenes reales de biogases generados se recomienda evaluar la factibilida</w:t>
      </w:r>
      <w:r w:rsidR="00D61157">
        <w:rPr>
          <w:szCs w:val="24"/>
        </w:rPr>
        <w:t>d de aprovechamiento energético.</w:t>
      </w:r>
    </w:p>
    <w:p w:rsidR="00EC1DA5" w:rsidRDefault="00EC1DA5" w:rsidP="00EC1DA5"/>
    <w:p w:rsidR="00944856" w:rsidRDefault="00944856" w:rsidP="00944856">
      <w:pPr>
        <w:jc w:val="both"/>
      </w:pPr>
    </w:p>
    <w:p w:rsidR="00944856" w:rsidRDefault="00944856" w:rsidP="00944856">
      <w:pPr>
        <w:jc w:val="both"/>
      </w:pPr>
    </w:p>
    <w:p w:rsidR="00944856" w:rsidRDefault="00944856" w:rsidP="00944856">
      <w:pPr>
        <w:jc w:val="both"/>
      </w:pPr>
    </w:p>
    <w:p w:rsidR="00944856" w:rsidRDefault="00944856" w:rsidP="00944856">
      <w:pPr>
        <w:pStyle w:val="Ttulo4"/>
        <w:numPr>
          <w:ilvl w:val="0"/>
          <w:numId w:val="0"/>
        </w:numPr>
        <w:spacing w:before="240" w:after="240" w:line="276" w:lineRule="auto"/>
        <w:ind w:left="1418"/>
        <w:jc w:val="both"/>
      </w:pPr>
    </w:p>
    <w:sectPr w:rsidR="00944856" w:rsidSect="003D08A2">
      <w:pgSz w:w="11906" w:h="16838"/>
      <w:pgMar w:top="1417" w:right="1133"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33CF" w:rsidRDefault="00E733CF" w:rsidP="00AB137D">
      <w:r>
        <w:separator/>
      </w:r>
    </w:p>
  </w:endnote>
  <w:endnote w:type="continuationSeparator" w:id="0">
    <w:p w:rsidR="00E733CF" w:rsidRDefault="00E733CF" w:rsidP="00AB1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0838"/>
      <w:docPartObj>
        <w:docPartGallery w:val="Page Numbers (Bottom of Page)"/>
        <w:docPartUnique/>
      </w:docPartObj>
    </w:sdtPr>
    <w:sdtEndPr/>
    <w:sdtContent>
      <w:p w:rsidR="00E56C5D" w:rsidRDefault="00E733CF">
        <w:pPr>
          <w:pStyle w:val="Piedepgina"/>
          <w:jc w:val="right"/>
        </w:pPr>
        <w:r>
          <w:fldChar w:fldCharType="begin"/>
        </w:r>
        <w:r>
          <w:instrText xml:space="preserve"> PAGE   \* MERGEFORMAT </w:instrText>
        </w:r>
        <w:r>
          <w:fldChar w:fldCharType="separate"/>
        </w:r>
        <w:r w:rsidR="00C450BF">
          <w:rPr>
            <w:noProof/>
          </w:rPr>
          <w:t>1</w:t>
        </w:r>
        <w:r>
          <w:rPr>
            <w:noProof/>
          </w:rPr>
          <w:fldChar w:fldCharType="end"/>
        </w:r>
      </w:p>
    </w:sdtContent>
  </w:sdt>
  <w:p w:rsidR="00E56C5D" w:rsidRDefault="00E56C5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33CF" w:rsidRDefault="00E733CF" w:rsidP="00AB137D">
      <w:r>
        <w:separator/>
      </w:r>
    </w:p>
  </w:footnote>
  <w:footnote w:type="continuationSeparator" w:id="0">
    <w:p w:rsidR="00E733CF" w:rsidRDefault="00E733CF" w:rsidP="00AB137D">
      <w:r>
        <w:continuationSeparator/>
      </w:r>
    </w:p>
  </w:footnote>
  <w:footnote w:id="1">
    <w:p w:rsidR="00D02FD1" w:rsidRPr="001D5525" w:rsidRDefault="00D02FD1" w:rsidP="00D02FD1">
      <w:pPr>
        <w:pStyle w:val="Textonotapie"/>
      </w:pPr>
      <w:r>
        <w:rPr>
          <w:rStyle w:val="Refdenotaalpie"/>
        </w:rPr>
        <w:footnoteRef/>
      </w:r>
      <w:r w:rsidRPr="001D5525">
        <w:t xml:space="preserve"> </w:t>
      </w:r>
      <w:r w:rsidRPr="001D5525">
        <w:rPr>
          <w:rFonts w:eastAsia="Cambria"/>
        </w:rPr>
        <w:t>Proceedings of the Safe Waste</w:t>
      </w:r>
      <w:r>
        <w:rPr>
          <w:rFonts w:eastAsia="Cambria"/>
        </w:rPr>
        <w:t>,</w:t>
      </w:r>
      <w:r w:rsidRPr="001D5525">
        <w:rPr>
          <w:rFonts w:eastAsia="Cambria"/>
        </w:rPr>
        <w:t xml:space="preserve"> 2011</w:t>
      </w:r>
      <w:r>
        <w:rPr>
          <w:rFonts w:eastAsia="Cambria"/>
        </w:rPr>
        <w:t>.</w:t>
      </w:r>
    </w:p>
  </w:footnote>
  <w:footnote w:id="2">
    <w:p w:rsidR="00EC1DA5" w:rsidRPr="00875642" w:rsidRDefault="00EC1DA5" w:rsidP="00EC1DA5">
      <w:pPr>
        <w:pStyle w:val="Textonotapie"/>
        <w:rPr>
          <w:rFonts w:ascii="Georgia" w:hAnsi="Georgia"/>
          <w:sz w:val="18"/>
          <w:szCs w:val="18"/>
          <w:lang w:val="es-CL"/>
        </w:rPr>
      </w:pPr>
      <w:r w:rsidRPr="00B97109">
        <w:rPr>
          <w:rStyle w:val="Refdenotaalpie"/>
          <w:rFonts w:ascii="Georgia" w:hAnsi="Georgia"/>
          <w:sz w:val="18"/>
          <w:szCs w:val="18"/>
        </w:rPr>
        <w:footnoteRef/>
      </w:r>
      <w:r w:rsidRPr="00875642">
        <w:rPr>
          <w:rFonts w:ascii="Georgia" w:hAnsi="Georgia"/>
          <w:sz w:val="18"/>
          <w:szCs w:val="18"/>
          <w:lang w:val="es-CL"/>
        </w:rPr>
        <w:t xml:space="preserve"> Valores porcentuales indican el porcentaje de residuos que incinera cada país respecto de la que produce.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4B419B"/>
    <w:multiLevelType w:val="hybridMultilevel"/>
    <w:tmpl w:val="C20608B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58745C7"/>
    <w:multiLevelType w:val="singleLevel"/>
    <w:tmpl w:val="044AD34A"/>
    <w:lvl w:ilvl="0">
      <w:start w:val="1"/>
      <w:numFmt w:val="bullet"/>
      <w:lvlText w:val=""/>
      <w:lvlJc w:val="left"/>
      <w:pPr>
        <w:tabs>
          <w:tab w:val="num" w:pos="360"/>
        </w:tabs>
        <w:ind w:left="360" w:hanging="360"/>
      </w:pPr>
      <w:rPr>
        <w:rFonts w:ascii="Symbol" w:hAnsi="Symbol" w:hint="default"/>
      </w:rPr>
    </w:lvl>
  </w:abstractNum>
  <w:abstractNum w:abstractNumId="3">
    <w:nsid w:val="0BAB469A"/>
    <w:multiLevelType w:val="hybridMultilevel"/>
    <w:tmpl w:val="942E28F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nsid w:val="10541EF4"/>
    <w:multiLevelType w:val="hybridMultilevel"/>
    <w:tmpl w:val="69008BB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16FA2D37"/>
    <w:multiLevelType w:val="singleLevel"/>
    <w:tmpl w:val="CDFA88DA"/>
    <w:lvl w:ilvl="0">
      <w:start w:val="1"/>
      <w:numFmt w:val="bullet"/>
      <w:lvlText w:val="-"/>
      <w:lvlJc w:val="left"/>
      <w:pPr>
        <w:tabs>
          <w:tab w:val="num" w:pos="360"/>
        </w:tabs>
        <w:ind w:left="360" w:hanging="360"/>
      </w:pPr>
      <w:rPr>
        <w:rFonts w:ascii="Arial" w:hAnsi="Arial" w:hint="default"/>
      </w:rPr>
    </w:lvl>
  </w:abstractNum>
  <w:abstractNum w:abstractNumId="6">
    <w:nsid w:val="1D12783B"/>
    <w:multiLevelType w:val="singleLevel"/>
    <w:tmpl w:val="D16CC2AE"/>
    <w:lvl w:ilvl="0">
      <w:start w:val="1"/>
      <w:numFmt w:val="bullet"/>
      <w:lvlText w:val=""/>
      <w:lvlJc w:val="left"/>
      <w:pPr>
        <w:tabs>
          <w:tab w:val="num" w:pos="360"/>
        </w:tabs>
        <w:ind w:left="360" w:hanging="360"/>
      </w:pPr>
      <w:rPr>
        <w:rFonts w:ascii="Symbol" w:hAnsi="Symbol" w:hint="default"/>
      </w:rPr>
    </w:lvl>
  </w:abstractNum>
  <w:abstractNum w:abstractNumId="7">
    <w:nsid w:val="222E6C82"/>
    <w:multiLevelType w:val="singleLevel"/>
    <w:tmpl w:val="FFFFFFFF"/>
    <w:lvl w:ilvl="0">
      <w:numFmt w:val="decimal"/>
      <w:lvlText w:val="*"/>
      <w:lvlJc w:val="left"/>
    </w:lvl>
  </w:abstractNum>
  <w:abstractNum w:abstractNumId="8">
    <w:nsid w:val="23A22C26"/>
    <w:multiLevelType w:val="multilevel"/>
    <w:tmpl w:val="8A2AF476"/>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04" w:hanging="720"/>
      </w:pPr>
      <w:rPr>
        <w:rFonts w:hint="default"/>
      </w:rPr>
    </w:lvl>
    <w:lvl w:ilvl="3">
      <w:start w:val="1"/>
      <w:numFmt w:val="decimal"/>
      <w:pStyle w:val="Ttulo4"/>
      <w:lvlText w:val="%1.%2.%3.%4"/>
      <w:lvlJc w:val="left"/>
      <w:pPr>
        <w:ind w:left="2282"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9">
    <w:nsid w:val="2D7C312A"/>
    <w:multiLevelType w:val="singleLevel"/>
    <w:tmpl w:val="63FC14C6"/>
    <w:lvl w:ilvl="0">
      <w:start w:val="1"/>
      <w:numFmt w:val="bullet"/>
      <w:lvlText w:val=""/>
      <w:lvlJc w:val="left"/>
      <w:pPr>
        <w:tabs>
          <w:tab w:val="num" w:pos="360"/>
        </w:tabs>
        <w:ind w:left="360" w:hanging="360"/>
      </w:pPr>
      <w:rPr>
        <w:rFonts w:ascii="Symbol" w:hAnsi="Symbol" w:hint="default"/>
      </w:rPr>
    </w:lvl>
  </w:abstractNum>
  <w:abstractNum w:abstractNumId="10">
    <w:nsid w:val="32772A5D"/>
    <w:multiLevelType w:val="hybridMultilevel"/>
    <w:tmpl w:val="DC84584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341F4970"/>
    <w:multiLevelType w:val="singleLevel"/>
    <w:tmpl w:val="1674CAC8"/>
    <w:lvl w:ilvl="0">
      <w:start w:val="2"/>
      <w:numFmt w:val="bullet"/>
      <w:lvlText w:val=""/>
      <w:lvlJc w:val="left"/>
      <w:pPr>
        <w:tabs>
          <w:tab w:val="num" w:pos="360"/>
        </w:tabs>
        <w:ind w:left="360" w:hanging="360"/>
      </w:pPr>
      <w:rPr>
        <w:rFonts w:ascii="Symbol" w:hAnsi="Symbol" w:hint="default"/>
      </w:rPr>
    </w:lvl>
  </w:abstractNum>
  <w:abstractNum w:abstractNumId="12">
    <w:nsid w:val="376C76E8"/>
    <w:multiLevelType w:val="hybridMultilevel"/>
    <w:tmpl w:val="FB5210B6"/>
    <w:lvl w:ilvl="0" w:tplc="B094C816">
      <w:start w:val="1"/>
      <w:numFmt w:val="bullet"/>
      <w:lvlText w:val=""/>
      <w:legacy w:legacy="1" w:legacySpace="0" w:legacyIndent="360"/>
      <w:lvlJc w:val="left"/>
      <w:pPr>
        <w:ind w:left="720" w:hanging="360"/>
      </w:pPr>
      <w:rPr>
        <w:rFonts w:ascii="Symbol" w:hAnsi="Symbol" w:hint="default"/>
      </w:rPr>
    </w:lvl>
    <w:lvl w:ilvl="1" w:tplc="87D2FA72" w:tentative="1">
      <w:start w:val="1"/>
      <w:numFmt w:val="bullet"/>
      <w:lvlText w:val="o"/>
      <w:lvlJc w:val="left"/>
      <w:pPr>
        <w:ind w:left="1800" w:hanging="360"/>
      </w:pPr>
      <w:rPr>
        <w:rFonts w:ascii="Courier New" w:hAnsi="Courier New" w:cs="Courier New" w:hint="default"/>
      </w:rPr>
    </w:lvl>
    <w:lvl w:ilvl="2" w:tplc="7E10B49A" w:tentative="1">
      <w:start w:val="1"/>
      <w:numFmt w:val="bullet"/>
      <w:lvlText w:val=""/>
      <w:lvlJc w:val="left"/>
      <w:pPr>
        <w:ind w:left="2520" w:hanging="360"/>
      </w:pPr>
      <w:rPr>
        <w:rFonts w:ascii="Wingdings" w:hAnsi="Wingdings" w:hint="default"/>
      </w:rPr>
    </w:lvl>
    <w:lvl w:ilvl="3" w:tplc="233C27AC" w:tentative="1">
      <w:start w:val="1"/>
      <w:numFmt w:val="bullet"/>
      <w:lvlText w:val=""/>
      <w:lvlJc w:val="left"/>
      <w:pPr>
        <w:ind w:left="3240" w:hanging="360"/>
      </w:pPr>
      <w:rPr>
        <w:rFonts w:ascii="Symbol" w:hAnsi="Symbol" w:hint="default"/>
      </w:rPr>
    </w:lvl>
    <w:lvl w:ilvl="4" w:tplc="5C988838" w:tentative="1">
      <w:start w:val="1"/>
      <w:numFmt w:val="bullet"/>
      <w:lvlText w:val="o"/>
      <w:lvlJc w:val="left"/>
      <w:pPr>
        <w:ind w:left="3960" w:hanging="360"/>
      </w:pPr>
      <w:rPr>
        <w:rFonts w:ascii="Courier New" w:hAnsi="Courier New" w:cs="Courier New" w:hint="default"/>
      </w:rPr>
    </w:lvl>
    <w:lvl w:ilvl="5" w:tplc="5BC86750" w:tentative="1">
      <w:start w:val="1"/>
      <w:numFmt w:val="bullet"/>
      <w:lvlText w:val=""/>
      <w:lvlJc w:val="left"/>
      <w:pPr>
        <w:ind w:left="4680" w:hanging="360"/>
      </w:pPr>
      <w:rPr>
        <w:rFonts w:ascii="Wingdings" w:hAnsi="Wingdings" w:hint="default"/>
      </w:rPr>
    </w:lvl>
    <w:lvl w:ilvl="6" w:tplc="DB4475DA" w:tentative="1">
      <w:start w:val="1"/>
      <w:numFmt w:val="bullet"/>
      <w:lvlText w:val=""/>
      <w:lvlJc w:val="left"/>
      <w:pPr>
        <w:ind w:left="5400" w:hanging="360"/>
      </w:pPr>
      <w:rPr>
        <w:rFonts w:ascii="Symbol" w:hAnsi="Symbol" w:hint="default"/>
      </w:rPr>
    </w:lvl>
    <w:lvl w:ilvl="7" w:tplc="C9B47F30" w:tentative="1">
      <w:start w:val="1"/>
      <w:numFmt w:val="bullet"/>
      <w:lvlText w:val="o"/>
      <w:lvlJc w:val="left"/>
      <w:pPr>
        <w:ind w:left="6120" w:hanging="360"/>
      </w:pPr>
      <w:rPr>
        <w:rFonts w:ascii="Courier New" w:hAnsi="Courier New" w:cs="Courier New" w:hint="default"/>
      </w:rPr>
    </w:lvl>
    <w:lvl w:ilvl="8" w:tplc="D03AF7F6" w:tentative="1">
      <w:start w:val="1"/>
      <w:numFmt w:val="bullet"/>
      <w:lvlText w:val=""/>
      <w:lvlJc w:val="left"/>
      <w:pPr>
        <w:ind w:left="6840" w:hanging="360"/>
      </w:pPr>
      <w:rPr>
        <w:rFonts w:ascii="Wingdings" w:hAnsi="Wingdings" w:hint="default"/>
      </w:rPr>
    </w:lvl>
  </w:abstractNum>
  <w:abstractNum w:abstractNumId="13">
    <w:nsid w:val="419D6A38"/>
    <w:multiLevelType w:val="hybridMultilevel"/>
    <w:tmpl w:val="F17015E6"/>
    <w:lvl w:ilvl="0" w:tplc="2D6A8D32">
      <w:start w:val="2"/>
      <w:numFmt w:val="bullet"/>
      <w:lvlText w:val="-"/>
      <w:lvlJc w:val="left"/>
      <w:pPr>
        <w:ind w:left="720" w:hanging="360"/>
      </w:pPr>
      <w:rPr>
        <w:rFonts w:ascii="Arial" w:eastAsiaTheme="minorHAnsi" w:hAnsi="Arial" w:cs="Arial" w:hint="default"/>
      </w:rPr>
    </w:lvl>
    <w:lvl w:ilvl="1" w:tplc="569AC1DE" w:tentative="1">
      <w:start w:val="1"/>
      <w:numFmt w:val="bullet"/>
      <w:lvlText w:val="o"/>
      <w:lvlJc w:val="left"/>
      <w:pPr>
        <w:ind w:left="1440" w:hanging="360"/>
      </w:pPr>
      <w:rPr>
        <w:rFonts w:ascii="Courier New" w:hAnsi="Courier New" w:cs="Courier New" w:hint="default"/>
      </w:rPr>
    </w:lvl>
    <w:lvl w:ilvl="2" w:tplc="FEB65838" w:tentative="1">
      <w:start w:val="1"/>
      <w:numFmt w:val="bullet"/>
      <w:lvlText w:val=""/>
      <w:lvlJc w:val="left"/>
      <w:pPr>
        <w:ind w:left="2160" w:hanging="360"/>
      </w:pPr>
      <w:rPr>
        <w:rFonts w:ascii="Wingdings" w:hAnsi="Wingdings" w:hint="default"/>
      </w:rPr>
    </w:lvl>
    <w:lvl w:ilvl="3" w:tplc="C9C42136" w:tentative="1">
      <w:start w:val="1"/>
      <w:numFmt w:val="bullet"/>
      <w:lvlText w:val=""/>
      <w:lvlJc w:val="left"/>
      <w:pPr>
        <w:ind w:left="2880" w:hanging="360"/>
      </w:pPr>
      <w:rPr>
        <w:rFonts w:ascii="Symbol" w:hAnsi="Symbol" w:hint="default"/>
      </w:rPr>
    </w:lvl>
    <w:lvl w:ilvl="4" w:tplc="887C9B92" w:tentative="1">
      <w:start w:val="1"/>
      <w:numFmt w:val="bullet"/>
      <w:lvlText w:val="o"/>
      <w:lvlJc w:val="left"/>
      <w:pPr>
        <w:ind w:left="3600" w:hanging="360"/>
      </w:pPr>
      <w:rPr>
        <w:rFonts w:ascii="Courier New" w:hAnsi="Courier New" w:cs="Courier New" w:hint="default"/>
      </w:rPr>
    </w:lvl>
    <w:lvl w:ilvl="5" w:tplc="C9788B14" w:tentative="1">
      <w:start w:val="1"/>
      <w:numFmt w:val="bullet"/>
      <w:lvlText w:val=""/>
      <w:lvlJc w:val="left"/>
      <w:pPr>
        <w:ind w:left="4320" w:hanging="360"/>
      </w:pPr>
      <w:rPr>
        <w:rFonts w:ascii="Wingdings" w:hAnsi="Wingdings" w:hint="default"/>
      </w:rPr>
    </w:lvl>
    <w:lvl w:ilvl="6" w:tplc="FA2E6E9C" w:tentative="1">
      <w:start w:val="1"/>
      <w:numFmt w:val="bullet"/>
      <w:lvlText w:val=""/>
      <w:lvlJc w:val="left"/>
      <w:pPr>
        <w:ind w:left="5040" w:hanging="360"/>
      </w:pPr>
      <w:rPr>
        <w:rFonts w:ascii="Symbol" w:hAnsi="Symbol" w:hint="default"/>
      </w:rPr>
    </w:lvl>
    <w:lvl w:ilvl="7" w:tplc="AF34E2C8" w:tentative="1">
      <w:start w:val="1"/>
      <w:numFmt w:val="bullet"/>
      <w:lvlText w:val="o"/>
      <w:lvlJc w:val="left"/>
      <w:pPr>
        <w:ind w:left="5760" w:hanging="360"/>
      </w:pPr>
      <w:rPr>
        <w:rFonts w:ascii="Courier New" w:hAnsi="Courier New" w:cs="Courier New" w:hint="default"/>
      </w:rPr>
    </w:lvl>
    <w:lvl w:ilvl="8" w:tplc="B28C36A8" w:tentative="1">
      <w:start w:val="1"/>
      <w:numFmt w:val="bullet"/>
      <w:lvlText w:val=""/>
      <w:lvlJc w:val="left"/>
      <w:pPr>
        <w:ind w:left="6480" w:hanging="360"/>
      </w:pPr>
      <w:rPr>
        <w:rFonts w:ascii="Wingdings" w:hAnsi="Wingdings" w:hint="default"/>
      </w:rPr>
    </w:lvl>
  </w:abstractNum>
  <w:abstractNum w:abstractNumId="14">
    <w:nsid w:val="4D882B7F"/>
    <w:multiLevelType w:val="hybridMultilevel"/>
    <w:tmpl w:val="C8668066"/>
    <w:lvl w:ilvl="0" w:tplc="FFFFFFFF">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6007D9F"/>
    <w:multiLevelType w:val="hybridMultilevel"/>
    <w:tmpl w:val="4AEA7506"/>
    <w:lvl w:ilvl="0" w:tplc="340A0001">
      <w:start w:val="7"/>
      <w:numFmt w:val="decimal"/>
      <w:pStyle w:val="ANEXOS"/>
      <w:lvlText w:val="Anexo %1."/>
      <w:lvlJc w:val="left"/>
      <w:pPr>
        <w:ind w:left="1440" w:hanging="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tplc="340A0003" w:tentative="1">
      <w:start w:val="1"/>
      <w:numFmt w:val="lowerLetter"/>
      <w:lvlText w:val="%2."/>
      <w:lvlJc w:val="left"/>
      <w:pPr>
        <w:ind w:left="2160" w:hanging="360"/>
      </w:pPr>
    </w:lvl>
    <w:lvl w:ilvl="2" w:tplc="340A0005" w:tentative="1">
      <w:start w:val="1"/>
      <w:numFmt w:val="lowerRoman"/>
      <w:lvlText w:val="%3."/>
      <w:lvlJc w:val="right"/>
      <w:pPr>
        <w:ind w:left="2880" w:hanging="180"/>
      </w:pPr>
    </w:lvl>
    <w:lvl w:ilvl="3" w:tplc="340A0001" w:tentative="1">
      <w:start w:val="1"/>
      <w:numFmt w:val="decimal"/>
      <w:lvlText w:val="%4."/>
      <w:lvlJc w:val="left"/>
      <w:pPr>
        <w:ind w:left="3600" w:hanging="360"/>
      </w:pPr>
    </w:lvl>
    <w:lvl w:ilvl="4" w:tplc="340A0003" w:tentative="1">
      <w:start w:val="1"/>
      <w:numFmt w:val="lowerLetter"/>
      <w:lvlText w:val="%5."/>
      <w:lvlJc w:val="left"/>
      <w:pPr>
        <w:ind w:left="4320" w:hanging="360"/>
      </w:pPr>
    </w:lvl>
    <w:lvl w:ilvl="5" w:tplc="340A0005" w:tentative="1">
      <w:start w:val="1"/>
      <w:numFmt w:val="lowerRoman"/>
      <w:lvlText w:val="%6."/>
      <w:lvlJc w:val="right"/>
      <w:pPr>
        <w:ind w:left="5040" w:hanging="180"/>
      </w:pPr>
    </w:lvl>
    <w:lvl w:ilvl="6" w:tplc="340A0001" w:tentative="1">
      <w:start w:val="1"/>
      <w:numFmt w:val="decimal"/>
      <w:lvlText w:val="%7."/>
      <w:lvlJc w:val="left"/>
      <w:pPr>
        <w:ind w:left="5760" w:hanging="360"/>
      </w:pPr>
    </w:lvl>
    <w:lvl w:ilvl="7" w:tplc="340A0003" w:tentative="1">
      <w:start w:val="1"/>
      <w:numFmt w:val="lowerLetter"/>
      <w:lvlText w:val="%8."/>
      <w:lvlJc w:val="left"/>
      <w:pPr>
        <w:ind w:left="6480" w:hanging="360"/>
      </w:pPr>
    </w:lvl>
    <w:lvl w:ilvl="8" w:tplc="340A0005" w:tentative="1">
      <w:start w:val="1"/>
      <w:numFmt w:val="lowerRoman"/>
      <w:lvlText w:val="%9."/>
      <w:lvlJc w:val="right"/>
      <w:pPr>
        <w:ind w:left="7200" w:hanging="180"/>
      </w:pPr>
    </w:lvl>
  </w:abstractNum>
  <w:abstractNum w:abstractNumId="16">
    <w:nsid w:val="61D74F92"/>
    <w:multiLevelType w:val="multilevel"/>
    <w:tmpl w:val="96F25CE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61E261CC"/>
    <w:multiLevelType w:val="singleLevel"/>
    <w:tmpl w:val="AF58454C"/>
    <w:lvl w:ilvl="0">
      <w:start w:val="1"/>
      <w:numFmt w:val="bullet"/>
      <w:lvlText w:val=""/>
      <w:lvlJc w:val="left"/>
      <w:pPr>
        <w:tabs>
          <w:tab w:val="num" w:pos="360"/>
        </w:tabs>
        <w:ind w:left="360" w:hanging="360"/>
      </w:pPr>
      <w:rPr>
        <w:rFonts w:ascii="Symbol" w:hAnsi="Symbol" w:hint="default"/>
        <w:sz w:val="28"/>
      </w:rPr>
    </w:lvl>
  </w:abstractNum>
  <w:abstractNum w:abstractNumId="18">
    <w:nsid w:val="63D66271"/>
    <w:multiLevelType w:val="hybridMultilevel"/>
    <w:tmpl w:val="CF4E57A2"/>
    <w:lvl w:ilvl="0" w:tplc="F760BBB8">
      <w:start w:val="1"/>
      <w:numFmt w:val="bullet"/>
      <w:lvlText w:val=""/>
      <w:lvlJc w:val="left"/>
      <w:pPr>
        <w:ind w:left="1500" w:hanging="360"/>
      </w:pPr>
      <w:rPr>
        <w:rFonts w:ascii="Symbol" w:hAnsi="Symbol" w:hint="default"/>
      </w:rPr>
    </w:lvl>
    <w:lvl w:ilvl="1" w:tplc="11B22ACC" w:tentative="1">
      <w:start w:val="1"/>
      <w:numFmt w:val="bullet"/>
      <w:lvlText w:val="o"/>
      <w:lvlJc w:val="left"/>
      <w:pPr>
        <w:ind w:left="1860" w:hanging="360"/>
      </w:pPr>
      <w:rPr>
        <w:rFonts w:ascii="Courier New" w:hAnsi="Courier New" w:cs="Courier New" w:hint="default"/>
      </w:rPr>
    </w:lvl>
    <w:lvl w:ilvl="2" w:tplc="32241D14" w:tentative="1">
      <w:start w:val="1"/>
      <w:numFmt w:val="bullet"/>
      <w:lvlText w:val=""/>
      <w:lvlJc w:val="left"/>
      <w:pPr>
        <w:ind w:left="2580" w:hanging="360"/>
      </w:pPr>
      <w:rPr>
        <w:rFonts w:ascii="Wingdings" w:hAnsi="Wingdings" w:hint="default"/>
      </w:rPr>
    </w:lvl>
    <w:lvl w:ilvl="3" w:tplc="EA5A2DA0" w:tentative="1">
      <w:start w:val="1"/>
      <w:numFmt w:val="bullet"/>
      <w:lvlText w:val=""/>
      <w:lvlJc w:val="left"/>
      <w:pPr>
        <w:ind w:left="3300" w:hanging="360"/>
      </w:pPr>
      <w:rPr>
        <w:rFonts w:ascii="Symbol" w:hAnsi="Symbol" w:hint="default"/>
      </w:rPr>
    </w:lvl>
    <w:lvl w:ilvl="4" w:tplc="C5EA1B8C" w:tentative="1">
      <w:start w:val="1"/>
      <w:numFmt w:val="bullet"/>
      <w:lvlText w:val="o"/>
      <w:lvlJc w:val="left"/>
      <w:pPr>
        <w:ind w:left="4020" w:hanging="360"/>
      </w:pPr>
      <w:rPr>
        <w:rFonts w:ascii="Courier New" w:hAnsi="Courier New" w:cs="Courier New" w:hint="default"/>
      </w:rPr>
    </w:lvl>
    <w:lvl w:ilvl="5" w:tplc="2B3E43E2" w:tentative="1">
      <w:start w:val="1"/>
      <w:numFmt w:val="bullet"/>
      <w:lvlText w:val=""/>
      <w:lvlJc w:val="left"/>
      <w:pPr>
        <w:ind w:left="4740" w:hanging="360"/>
      </w:pPr>
      <w:rPr>
        <w:rFonts w:ascii="Wingdings" w:hAnsi="Wingdings" w:hint="default"/>
      </w:rPr>
    </w:lvl>
    <w:lvl w:ilvl="6" w:tplc="941A170E" w:tentative="1">
      <w:start w:val="1"/>
      <w:numFmt w:val="bullet"/>
      <w:lvlText w:val=""/>
      <w:lvlJc w:val="left"/>
      <w:pPr>
        <w:ind w:left="5460" w:hanging="360"/>
      </w:pPr>
      <w:rPr>
        <w:rFonts w:ascii="Symbol" w:hAnsi="Symbol" w:hint="default"/>
      </w:rPr>
    </w:lvl>
    <w:lvl w:ilvl="7" w:tplc="BF907EC0" w:tentative="1">
      <w:start w:val="1"/>
      <w:numFmt w:val="bullet"/>
      <w:lvlText w:val="o"/>
      <w:lvlJc w:val="left"/>
      <w:pPr>
        <w:ind w:left="6180" w:hanging="360"/>
      </w:pPr>
      <w:rPr>
        <w:rFonts w:ascii="Courier New" w:hAnsi="Courier New" w:cs="Courier New" w:hint="default"/>
      </w:rPr>
    </w:lvl>
    <w:lvl w:ilvl="8" w:tplc="F84E9228" w:tentative="1">
      <w:start w:val="1"/>
      <w:numFmt w:val="bullet"/>
      <w:lvlText w:val=""/>
      <w:lvlJc w:val="left"/>
      <w:pPr>
        <w:ind w:left="6900" w:hanging="360"/>
      </w:pPr>
      <w:rPr>
        <w:rFonts w:ascii="Wingdings" w:hAnsi="Wingdings" w:hint="default"/>
      </w:rPr>
    </w:lvl>
  </w:abstractNum>
  <w:abstractNum w:abstractNumId="19">
    <w:nsid w:val="7D237A38"/>
    <w:multiLevelType w:val="multilevel"/>
    <w:tmpl w:val="96F25CE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8"/>
  </w:num>
  <w:num w:numId="2">
    <w:abstractNumId w:val="13"/>
  </w:num>
  <w:num w:numId="3">
    <w:abstractNumId w:val="1"/>
  </w:num>
  <w:num w:numId="4">
    <w:abstractNumId w:val="8"/>
  </w:num>
  <w:num w:numId="5">
    <w:abstractNumId w:val="8"/>
  </w:num>
  <w:num w:numId="6">
    <w:abstractNumId w:val="8"/>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9">
    <w:abstractNumId w:val="3"/>
  </w:num>
  <w:num w:numId="10">
    <w:abstractNumId w:val="15"/>
  </w:num>
  <w:num w:numId="11">
    <w:abstractNumId w:val="15"/>
  </w:num>
  <w:num w:numId="12">
    <w:abstractNumId w:val="15"/>
  </w:num>
  <w:num w:numId="13">
    <w:abstractNumId w:val="2"/>
  </w:num>
  <w:num w:numId="14">
    <w:abstractNumId w:val="9"/>
  </w:num>
  <w:num w:numId="15">
    <w:abstractNumId w:val="4"/>
  </w:num>
  <w:num w:numId="16">
    <w:abstractNumId w:val="17"/>
  </w:num>
  <w:num w:numId="17">
    <w:abstractNumId w:val="18"/>
  </w:num>
  <w:num w:numId="18">
    <w:abstractNumId w:val="19"/>
  </w:num>
  <w:num w:numId="19">
    <w:abstractNumId w:val="15"/>
  </w:num>
  <w:num w:numId="20">
    <w:abstractNumId w:val="16"/>
  </w:num>
  <w:num w:numId="21">
    <w:abstractNumId w:val="15"/>
  </w:num>
  <w:num w:numId="22">
    <w:abstractNumId w:val="6"/>
  </w:num>
  <w:num w:numId="23">
    <w:abstractNumId w:val="11"/>
  </w:num>
  <w:num w:numId="24">
    <w:abstractNumId w:val="15"/>
  </w:num>
  <w:num w:numId="25">
    <w:abstractNumId w:val="5"/>
  </w:num>
  <w:num w:numId="26">
    <w:abstractNumId w:val="15"/>
  </w:num>
  <w:num w:numId="27">
    <w:abstractNumId w:val="15"/>
  </w:num>
  <w:num w:numId="28">
    <w:abstractNumId w:val="12"/>
  </w:num>
  <w:num w:numId="29">
    <w:abstractNumId w:val="15"/>
  </w:num>
  <w:num w:numId="30">
    <w:abstractNumId w:val="14"/>
  </w:num>
  <w:num w:numId="31">
    <w:abstractNumId w:val="15"/>
  </w:num>
  <w:num w:numId="32">
    <w:abstractNumId w:val="7"/>
  </w:num>
  <w:num w:numId="33">
    <w:abstractNumId w:val="10"/>
  </w:num>
  <w:num w:numId="34">
    <w:abstractNumId w:val="15"/>
  </w:num>
  <w:num w:numId="35">
    <w:abstractNumId w:val="15"/>
  </w:num>
  <w:num w:numId="36">
    <w:abstractNumId w:val="15"/>
  </w:num>
  <w:num w:numId="37">
    <w:abstractNumId w:val="15"/>
  </w:num>
  <w:num w:numId="38">
    <w:abstractNumId w:val="15"/>
  </w:num>
  <w:num w:numId="39">
    <w:abstractNumId w:val="15"/>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37D"/>
    <w:rsid w:val="0002405F"/>
    <w:rsid w:val="0007094F"/>
    <w:rsid w:val="000F3E4F"/>
    <w:rsid w:val="00132AA3"/>
    <w:rsid w:val="00181D15"/>
    <w:rsid w:val="001B5E69"/>
    <w:rsid w:val="0024465A"/>
    <w:rsid w:val="00251D8D"/>
    <w:rsid w:val="00255785"/>
    <w:rsid w:val="00327B99"/>
    <w:rsid w:val="0036510A"/>
    <w:rsid w:val="003A3FE5"/>
    <w:rsid w:val="003D08A2"/>
    <w:rsid w:val="00473FF9"/>
    <w:rsid w:val="00476806"/>
    <w:rsid w:val="004C74D8"/>
    <w:rsid w:val="005128EC"/>
    <w:rsid w:val="005403FC"/>
    <w:rsid w:val="005F34F3"/>
    <w:rsid w:val="007439EB"/>
    <w:rsid w:val="00896DB7"/>
    <w:rsid w:val="008A1009"/>
    <w:rsid w:val="009429FC"/>
    <w:rsid w:val="00944856"/>
    <w:rsid w:val="009976CE"/>
    <w:rsid w:val="009E1D56"/>
    <w:rsid w:val="009F2D55"/>
    <w:rsid w:val="009F661F"/>
    <w:rsid w:val="00A932AB"/>
    <w:rsid w:val="00A94D78"/>
    <w:rsid w:val="00A957F0"/>
    <w:rsid w:val="00AA1CB6"/>
    <w:rsid w:val="00AB137D"/>
    <w:rsid w:val="00AF4A4B"/>
    <w:rsid w:val="00B02704"/>
    <w:rsid w:val="00B52A1B"/>
    <w:rsid w:val="00B64C56"/>
    <w:rsid w:val="00BE7B32"/>
    <w:rsid w:val="00C450BF"/>
    <w:rsid w:val="00CC2554"/>
    <w:rsid w:val="00D02FD1"/>
    <w:rsid w:val="00D1441E"/>
    <w:rsid w:val="00D25D1F"/>
    <w:rsid w:val="00D61157"/>
    <w:rsid w:val="00D83B42"/>
    <w:rsid w:val="00DD2D78"/>
    <w:rsid w:val="00E047F6"/>
    <w:rsid w:val="00E5621C"/>
    <w:rsid w:val="00E56C5D"/>
    <w:rsid w:val="00E733CF"/>
    <w:rsid w:val="00EC1DA5"/>
    <w:rsid w:val="00F32EB8"/>
    <w:rsid w:val="00F80925"/>
    <w:rsid w:val="00FD0C2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A4B"/>
    <w:pPr>
      <w:spacing w:after="0" w:line="240" w:lineRule="auto"/>
    </w:pPr>
    <w:rPr>
      <w:rFonts w:ascii="Arial" w:eastAsia="Times New Roman" w:hAnsi="Arial" w:cs="Arial"/>
      <w:lang w:val="es-ES" w:eastAsia="es-ES"/>
    </w:rPr>
  </w:style>
  <w:style w:type="paragraph" w:styleId="Ttulo1">
    <w:name w:val="heading 1"/>
    <w:aliases w:val="Hoofdstuk,Título nivel 1"/>
    <w:basedOn w:val="Normal"/>
    <w:next w:val="Normal"/>
    <w:link w:val="Ttulo1Car"/>
    <w:qFormat/>
    <w:rsid w:val="00AB137D"/>
    <w:pPr>
      <w:keepNext/>
      <w:keepLines/>
      <w:numPr>
        <w:numId w:val="1"/>
      </w:numPr>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Major Heading,Paragraaf,Título nivel 2,title 2,Number 2,Título 2 Car1,Título 2 Car Car,Título 2 Car1 Car Car,Título 2 Car Car Car Car"/>
    <w:basedOn w:val="Normal"/>
    <w:next w:val="Normal"/>
    <w:link w:val="Ttulo2Car"/>
    <w:unhideWhenUsed/>
    <w:qFormat/>
    <w:rsid w:val="00B52A1B"/>
    <w:pPr>
      <w:keepNext/>
      <w:keepLines/>
      <w:numPr>
        <w:ilvl w:val="1"/>
        <w:numId w:val="1"/>
      </w:numPr>
      <w:spacing w:before="200"/>
      <w:outlineLvl w:val="1"/>
    </w:pPr>
    <w:rPr>
      <w:rFonts w:asciiTheme="majorHAnsi" w:eastAsiaTheme="majorEastAsia" w:hAnsiTheme="majorHAnsi" w:cstheme="majorBidi"/>
      <w:bCs/>
      <w:color w:val="002060"/>
      <w:sz w:val="28"/>
      <w:szCs w:val="28"/>
    </w:rPr>
  </w:style>
  <w:style w:type="paragraph" w:styleId="Ttulo3">
    <w:name w:val="heading 3"/>
    <w:aliases w:val="título 3,Subparagraaf,Título nivel 3,Number 3,Título 3 Marcia Car,Título 3 Car Car Car,Título 3 Car Car,title 3,H3,Level 1 - 1"/>
    <w:basedOn w:val="Normal"/>
    <w:next w:val="Normal"/>
    <w:link w:val="Ttulo3Car"/>
    <w:unhideWhenUsed/>
    <w:qFormat/>
    <w:rsid w:val="00AB137D"/>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Ttulo4">
    <w:name w:val="heading 4"/>
    <w:aliases w:val="Kopje,Título nivel 4,Título 4amb,title 4,Titulo 4"/>
    <w:basedOn w:val="Normal"/>
    <w:next w:val="Normal"/>
    <w:link w:val="Ttulo4Car"/>
    <w:unhideWhenUsed/>
    <w:qFormat/>
    <w:rsid w:val="00AB137D"/>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nhideWhenUsed/>
    <w:qFormat/>
    <w:rsid w:val="00AB137D"/>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nhideWhenUsed/>
    <w:qFormat/>
    <w:rsid w:val="00AB137D"/>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nhideWhenUsed/>
    <w:qFormat/>
    <w:rsid w:val="00AB137D"/>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nhideWhenUsed/>
    <w:qFormat/>
    <w:rsid w:val="00AB137D"/>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nhideWhenUsed/>
    <w:qFormat/>
    <w:rsid w:val="00AB137D"/>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Hoofdstuk Car,Título nivel 1 Car"/>
    <w:basedOn w:val="Fuentedeprrafopredeter"/>
    <w:link w:val="Ttulo1"/>
    <w:rsid w:val="00AB137D"/>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aliases w:val="Major Heading Car,Paragraaf Car,Título nivel 2 Car,title 2 Car,Number 2 Car,Título 2 Car1 Car,Título 2 Car Car Car,Título 2 Car1 Car Car Car,Título 2 Car Car Car Car Car"/>
    <w:basedOn w:val="Fuentedeprrafopredeter"/>
    <w:link w:val="Ttulo2"/>
    <w:rsid w:val="00B52A1B"/>
    <w:rPr>
      <w:rFonts w:asciiTheme="majorHAnsi" w:eastAsiaTheme="majorEastAsia" w:hAnsiTheme="majorHAnsi" w:cstheme="majorBidi"/>
      <w:bCs/>
      <w:color w:val="002060"/>
      <w:sz w:val="28"/>
      <w:szCs w:val="28"/>
      <w:lang w:val="es-ES" w:eastAsia="es-ES"/>
    </w:rPr>
  </w:style>
  <w:style w:type="character" w:customStyle="1" w:styleId="Ttulo3Car">
    <w:name w:val="Título 3 Car"/>
    <w:aliases w:val="título 3 Car,Subparagraaf Car,Título nivel 3 Car,Number 3 Car,Título 3 Marcia Car Car,Título 3 Car Car Car Car,Título 3 Car Car Car1,title 3 Car,H3 Car,Level 1 - 1 Car"/>
    <w:basedOn w:val="Fuentedeprrafopredeter"/>
    <w:link w:val="Ttulo3"/>
    <w:rsid w:val="00AB137D"/>
    <w:rPr>
      <w:rFonts w:asciiTheme="majorHAnsi" w:eastAsiaTheme="majorEastAsia" w:hAnsiTheme="majorHAnsi" w:cstheme="majorBidi"/>
      <w:b/>
      <w:bCs/>
      <w:color w:val="4F81BD" w:themeColor="accent1"/>
      <w:lang w:val="es-ES" w:eastAsia="es-ES"/>
    </w:rPr>
  </w:style>
  <w:style w:type="character" w:customStyle="1" w:styleId="Ttulo4Car">
    <w:name w:val="Título 4 Car"/>
    <w:aliases w:val="Kopje Car,Título nivel 4 Car,Título 4amb Car,title 4 Car,Titulo 4 Car"/>
    <w:basedOn w:val="Fuentedeprrafopredeter"/>
    <w:link w:val="Ttulo4"/>
    <w:rsid w:val="00AB137D"/>
    <w:rPr>
      <w:rFonts w:asciiTheme="majorHAnsi" w:eastAsiaTheme="majorEastAsia" w:hAnsiTheme="majorHAnsi" w:cstheme="majorBidi"/>
      <w:b/>
      <w:bCs/>
      <w:i/>
      <w:iCs/>
      <w:color w:val="4F81BD" w:themeColor="accent1"/>
      <w:lang w:val="es-ES" w:eastAsia="es-ES"/>
    </w:rPr>
  </w:style>
  <w:style w:type="character" w:customStyle="1" w:styleId="Ttulo5Car">
    <w:name w:val="Título 5 Car"/>
    <w:basedOn w:val="Fuentedeprrafopredeter"/>
    <w:link w:val="Ttulo5"/>
    <w:rsid w:val="00AB137D"/>
    <w:rPr>
      <w:rFonts w:asciiTheme="majorHAnsi" w:eastAsiaTheme="majorEastAsia" w:hAnsiTheme="majorHAnsi" w:cstheme="majorBidi"/>
      <w:color w:val="243F60" w:themeColor="accent1" w:themeShade="7F"/>
      <w:lang w:val="es-ES" w:eastAsia="es-ES"/>
    </w:rPr>
  </w:style>
  <w:style w:type="character" w:customStyle="1" w:styleId="Ttulo6Car">
    <w:name w:val="Título 6 Car"/>
    <w:basedOn w:val="Fuentedeprrafopredeter"/>
    <w:link w:val="Ttulo6"/>
    <w:rsid w:val="00AB137D"/>
    <w:rPr>
      <w:rFonts w:asciiTheme="majorHAnsi" w:eastAsiaTheme="majorEastAsia" w:hAnsiTheme="majorHAnsi" w:cstheme="majorBidi"/>
      <w:i/>
      <w:iCs/>
      <w:color w:val="243F60" w:themeColor="accent1" w:themeShade="7F"/>
      <w:lang w:val="es-ES" w:eastAsia="es-ES"/>
    </w:rPr>
  </w:style>
  <w:style w:type="character" w:customStyle="1" w:styleId="Ttulo7Car">
    <w:name w:val="Título 7 Car"/>
    <w:basedOn w:val="Fuentedeprrafopredeter"/>
    <w:link w:val="Ttulo7"/>
    <w:rsid w:val="00AB137D"/>
    <w:rPr>
      <w:rFonts w:asciiTheme="majorHAnsi" w:eastAsiaTheme="majorEastAsia" w:hAnsiTheme="majorHAnsi" w:cstheme="majorBidi"/>
      <w:i/>
      <w:iCs/>
      <w:color w:val="404040" w:themeColor="text1" w:themeTint="BF"/>
      <w:lang w:val="es-ES" w:eastAsia="es-ES"/>
    </w:rPr>
  </w:style>
  <w:style w:type="character" w:customStyle="1" w:styleId="Ttulo8Car">
    <w:name w:val="Título 8 Car"/>
    <w:basedOn w:val="Fuentedeprrafopredeter"/>
    <w:link w:val="Ttulo8"/>
    <w:rsid w:val="00AB137D"/>
    <w:rPr>
      <w:rFonts w:asciiTheme="majorHAnsi" w:eastAsiaTheme="majorEastAsia" w:hAnsiTheme="majorHAnsi" w:cstheme="majorBidi"/>
      <w:color w:val="404040" w:themeColor="text1" w:themeTint="BF"/>
      <w:sz w:val="20"/>
      <w:szCs w:val="20"/>
      <w:lang w:val="es-ES" w:eastAsia="es-ES"/>
    </w:rPr>
  </w:style>
  <w:style w:type="character" w:customStyle="1" w:styleId="Ttulo9Car">
    <w:name w:val="Título 9 Car"/>
    <w:basedOn w:val="Fuentedeprrafopredeter"/>
    <w:link w:val="Ttulo9"/>
    <w:rsid w:val="00AB137D"/>
    <w:rPr>
      <w:rFonts w:asciiTheme="majorHAnsi" w:eastAsiaTheme="majorEastAsia" w:hAnsiTheme="majorHAnsi" w:cstheme="majorBidi"/>
      <w:i/>
      <w:iCs/>
      <w:color w:val="404040" w:themeColor="text1" w:themeTint="BF"/>
      <w:sz w:val="20"/>
      <w:szCs w:val="20"/>
      <w:lang w:val="es-ES" w:eastAsia="es-ES"/>
    </w:rPr>
  </w:style>
  <w:style w:type="character" w:styleId="Hipervnculo">
    <w:name w:val="Hyperlink"/>
    <w:basedOn w:val="Fuentedeprrafopredeter"/>
    <w:uiPriority w:val="99"/>
    <w:rsid w:val="00AB137D"/>
    <w:rPr>
      <w:color w:val="0000FF"/>
      <w:u w:val="single"/>
    </w:rPr>
  </w:style>
  <w:style w:type="paragraph" w:styleId="Prrafodelista">
    <w:name w:val="List Paragraph"/>
    <w:basedOn w:val="Normal"/>
    <w:uiPriority w:val="34"/>
    <w:qFormat/>
    <w:rsid w:val="00AB137D"/>
    <w:pPr>
      <w:spacing w:after="200" w:line="276" w:lineRule="auto"/>
      <w:ind w:left="720"/>
      <w:contextualSpacing/>
    </w:pPr>
    <w:rPr>
      <w:rFonts w:asciiTheme="minorHAnsi" w:eastAsiaTheme="minorHAnsi" w:hAnsiTheme="minorHAnsi" w:cstheme="minorBidi"/>
      <w:lang w:val="es-CL" w:eastAsia="en-US"/>
    </w:rPr>
  </w:style>
  <w:style w:type="paragraph" w:styleId="Encabezado">
    <w:name w:val="header"/>
    <w:aliases w:val="Viñedos Torreon"/>
    <w:basedOn w:val="Normal"/>
    <w:link w:val="EncabezadoCar"/>
    <w:unhideWhenUsed/>
    <w:rsid w:val="00AB137D"/>
    <w:pPr>
      <w:tabs>
        <w:tab w:val="center" w:pos="4252"/>
        <w:tab w:val="right" w:pos="8504"/>
      </w:tabs>
    </w:pPr>
  </w:style>
  <w:style w:type="character" w:customStyle="1" w:styleId="EncabezadoCar">
    <w:name w:val="Encabezado Car"/>
    <w:aliases w:val="Viñedos Torreon Car"/>
    <w:basedOn w:val="Fuentedeprrafopredeter"/>
    <w:link w:val="Encabezado"/>
    <w:rsid w:val="00AB137D"/>
    <w:rPr>
      <w:rFonts w:ascii="Arial" w:eastAsia="Times New Roman" w:hAnsi="Arial" w:cs="Arial"/>
      <w:lang w:val="es-ES" w:eastAsia="es-ES"/>
    </w:rPr>
  </w:style>
  <w:style w:type="paragraph" w:styleId="Piedepgina">
    <w:name w:val="footer"/>
    <w:basedOn w:val="Normal"/>
    <w:link w:val="PiedepginaCar"/>
    <w:uiPriority w:val="99"/>
    <w:unhideWhenUsed/>
    <w:rsid w:val="00AB137D"/>
    <w:pPr>
      <w:tabs>
        <w:tab w:val="center" w:pos="4252"/>
        <w:tab w:val="right" w:pos="8504"/>
      </w:tabs>
    </w:pPr>
  </w:style>
  <w:style w:type="character" w:customStyle="1" w:styleId="PiedepginaCar">
    <w:name w:val="Pie de página Car"/>
    <w:basedOn w:val="Fuentedeprrafopredeter"/>
    <w:link w:val="Piedepgina"/>
    <w:uiPriority w:val="99"/>
    <w:rsid w:val="00AB137D"/>
    <w:rPr>
      <w:rFonts w:ascii="Arial" w:eastAsia="Times New Roman" w:hAnsi="Arial" w:cs="Arial"/>
      <w:lang w:val="es-ES" w:eastAsia="es-ES"/>
    </w:rPr>
  </w:style>
  <w:style w:type="paragraph" w:styleId="Textodeglobo">
    <w:name w:val="Balloon Text"/>
    <w:basedOn w:val="Normal"/>
    <w:link w:val="TextodegloboCar"/>
    <w:uiPriority w:val="99"/>
    <w:semiHidden/>
    <w:unhideWhenUsed/>
    <w:rsid w:val="00AB137D"/>
    <w:rPr>
      <w:rFonts w:ascii="Tahoma" w:hAnsi="Tahoma" w:cs="Tahoma"/>
      <w:sz w:val="16"/>
      <w:szCs w:val="16"/>
    </w:rPr>
  </w:style>
  <w:style w:type="character" w:customStyle="1" w:styleId="TextodegloboCar">
    <w:name w:val="Texto de globo Car"/>
    <w:basedOn w:val="Fuentedeprrafopredeter"/>
    <w:link w:val="Textodeglobo"/>
    <w:uiPriority w:val="99"/>
    <w:semiHidden/>
    <w:rsid w:val="00AB137D"/>
    <w:rPr>
      <w:rFonts w:ascii="Tahoma" w:eastAsia="Times New Roman" w:hAnsi="Tahoma" w:cs="Tahoma"/>
      <w:sz w:val="16"/>
      <w:szCs w:val="16"/>
      <w:lang w:val="es-ES" w:eastAsia="es-ES"/>
    </w:rPr>
  </w:style>
  <w:style w:type="table" w:styleId="Tablaconcuadrcula">
    <w:name w:val="Table Grid"/>
    <w:basedOn w:val="Tablanormal"/>
    <w:uiPriority w:val="59"/>
    <w:rsid w:val="009F2D5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
    <w:name w:val="Title"/>
    <w:basedOn w:val="Normal"/>
    <w:next w:val="Normal"/>
    <w:link w:val="TtuloCar"/>
    <w:uiPriority w:val="10"/>
    <w:qFormat/>
    <w:rsid w:val="00E56C5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TtuloCar">
    <w:name w:val="Título Car"/>
    <w:basedOn w:val="Fuentedeprrafopredeter"/>
    <w:link w:val="Ttulo"/>
    <w:uiPriority w:val="10"/>
    <w:rsid w:val="00E56C5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E56C5D"/>
    <w:pPr>
      <w:numPr>
        <w:ilvl w:val="1"/>
      </w:numPr>
      <w:spacing w:after="200" w:line="276" w:lineRule="auto"/>
    </w:pPr>
    <w:rPr>
      <w:rFonts w:asciiTheme="majorHAnsi" w:eastAsiaTheme="majorEastAsia" w:hAnsiTheme="majorHAnsi" w:cstheme="majorBidi"/>
      <w:i/>
      <w:iCs/>
      <w:color w:val="4F81BD" w:themeColor="accent1"/>
      <w:spacing w:val="15"/>
      <w:sz w:val="24"/>
      <w:szCs w:val="24"/>
      <w:lang w:val="es-CL" w:eastAsia="en-US"/>
    </w:rPr>
  </w:style>
  <w:style w:type="character" w:customStyle="1" w:styleId="SubttuloCar">
    <w:name w:val="Subtítulo Car"/>
    <w:basedOn w:val="Fuentedeprrafopredeter"/>
    <w:link w:val="Subttulo"/>
    <w:uiPriority w:val="11"/>
    <w:rsid w:val="00E56C5D"/>
    <w:rPr>
      <w:rFonts w:asciiTheme="majorHAnsi" w:eastAsiaTheme="majorEastAsia" w:hAnsiTheme="majorHAnsi" w:cstheme="majorBidi"/>
      <w:i/>
      <w:iCs/>
      <w:color w:val="4F81BD" w:themeColor="accent1"/>
      <w:spacing w:val="15"/>
      <w:sz w:val="24"/>
      <w:szCs w:val="24"/>
    </w:rPr>
  </w:style>
  <w:style w:type="paragraph" w:styleId="TtulodeTDC">
    <w:name w:val="TOC Heading"/>
    <w:basedOn w:val="Ttulo1"/>
    <w:next w:val="Normal"/>
    <w:uiPriority w:val="39"/>
    <w:semiHidden/>
    <w:unhideWhenUsed/>
    <w:qFormat/>
    <w:rsid w:val="00E56C5D"/>
    <w:pPr>
      <w:numPr>
        <w:numId w:val="0"/>
      </w:numPr>
      <w:spacing w:line="276" w:lineRule="auto"/>
      <w:outlineLvl w:val="9"/>
    </w:pPr>
    <w:rPr>
      <w:lang w:val="es-CL" w:eastAsia="es-CL"/>
    </w:rPr>
  </w:style>
  <w:style w:type="paragraph" w:styleId="TDC1">
    <w:name w:val="toc 1"/>
    <w:basedOn w:val="Normal"/>
    <w:next w:val="Normal"/>
    <w:autoRedefine/>
    <w:uiPriority w:val="39"/>
    <w:unhideWhenUsed/>
    <w:rsid w:val="00E56C5D"/>
    <w:pPr>
      <w:spacing w:after="100" w:line="276" w:lineRule="auto"/>
    </w:pPr>
    <w:rPr>
      <w:rFonts w:asciiTheme="minorHAnsi" w:eastAsiaTheme="minorHAnsi" w:hAnsiTheme="minorHAnsi" w:cstheme="minorBidi"/>
      <w:lang w:val="es-CL" w:eastAsia="en-US"/>
    </w:rPr>
  </w:style>
  <w:style w:type="paragraph" w:styleId="TDC2">
    <w:name w:val="toc 2"/>
    <w:basedOn w:val="Normal"/>
    <w:next w:val="Normal"/>
    <w:autoRedefine/>
    <w:uiPriority w:val="39"/>
    <w:unhideWhenUsed/>
    <w:rsid w:val="00E56C5D"/>
    <w:pPr>
      <w:spacing w:after="100" w:line="276" w:lineRule="auto"/>
      <w:ind w:left="220"/>
    </w:pPr>
    <w:rPr>
      <w:rFonts w:asciiTheme="minorHAnsi" w:eastAsiaTheme="minorHAnsi" w:hAnsiTheme="minorHAnsi" w:cstheme="minorBidi"/>
      <w:lang w:val="es-CL" w:eastAsia="en-US"/>
    </w:rPr>
  </w:style>
  <w:style w:type="paragraph" w:styleId="Tabladeilustraciones">
    <w:name w:val="table of figures"/>
    <w:basedOn w:val="Normal"/>
    <w:next w:val="Normal"/>
    <w:uiPriority w:val="99"/>
    <w:unhideWhenUsed/>
    <w:rsid w:val="00E56C5D"/>
    <w:pPr>
      <w:spacing w:line="276" w:lineRule="auto"/>
    </w:pPr>
    <w:rPr>
      <w:rFonts w:asciiTheme="minorHAnsi" w:eastAsiaTheme="minorHAnsi" w:hAnsiTheme="minorHAnsi" w:cstheme="minorBidi"/>
      <w:lang w:val="es-CL" w:eastAsia="en-US"/>
    </w:rPr>
  </w:style>
  <w:style w:type="paragraph" w:styleId="Epgrafe">
    <w:name w:val="caption"/>
    <w:aliases w:val=" Car1"/>
    <w:basedOn w:val="Normal"/>
    <w:next w:val="Normal"/>
    <w:link w:val="EpgrafeCar"/>
    <w:unhideWhenUsed/>
    <w:qFormat/>
    <w:rsid w:val="00E56C5D"/>
    <w:pPr>
      <w:spacing w:after="200"/>
    </w:pPr>
    <w:rPr>
      <w:rFonts w:asciiTheme="minorHAnsi" w:eastAsiaTheme="minorHAnsi" w:hAnsiTheme="minorHAnsi" w:cstheme="minorBidi"/>
      <w:b/>
      <w:bCs/>
      <w:color w:val="4F81BD" w:themeColor="accent1"/>
      <w:sz w:val="18"/>
      <w:szCs w:val="18"/>
      <w:lang w:val="es-CL" w:eastAsia="en-US"/>
    </w:rPr>
  </w:style>
  <w:style w:type="paragraph" w:styleId="Textonotapie">
    <w:name w:val="footnote text"/>
    <w:basedOn w:val="Normal"/>
    <w:link w:val="TextonotapieCar"/>
    <w:unhideWhenUsed/>
    <w:rsid w:val="00D02FD1"/>
    <w:pPr>
      <w:ind w:firstLine="360"/>
    </w:pPr>
    <w:rPr>
      <w:rFonts w:ascii="Calibri" w:hAnsi="Calibri" w:cs="Times New Roman"/>
      <w:sz w:val="20"/>
      <w:szCs w:val="20"/>
      <w:lang w:val="en-US" w:eastAsia="en-US" w:bidi="en-US"/>
    </w:rPr>
  </w:style>
  <w:style w:type="character" w:customStyle="1" w:styleId="TextonotapieCar">
    <w:name w:val="Texto nota pie Car"/>
    <w:basedOn w:val="Fuentedeprrafopredeter"/>
    <w:link w:val="Textonotapie"/>
    <w:rsid w:val="00D02FD1"/>
    <w:rPr>
      <w:rFonts w:ascii="Calibri" w:eastAsia="Times New Roman" w:hAnsi="Calibri" w:cs="Times New Roman"/>
      <w:sz w:val="20"/>
      <w:szCs w:val="20"/>
      <w:lang w:val="en-US" w:bidi="en-US"/>
    </w:rPr>
  </w:style>
  <w:style w:type="character" w:styleId="Refdenotaalpie">
    <w:name w:val="footnote reference"/>
    <w:unhideWhenUsed/>
    <w:rsid w:val="00D02FD1"/>
    <w:rPr>
      <w:vertAlign w:val="superscript"/>
    </w:rPr>
  </w:style>
  <w:style w:type="paragraph" w:styleId="Textoindependiente">
    <w:name w:val="Body Text"/>
    <w:basedOn w:val="Normal"/>
    <w:link w:val="TextoindependienteCar"/>
    <w:unhideWhenUsed/>
    <w:rsid w:val="00D02FD1"/>
    <w:pPr>
      <w:spacing w:after="120" w:line="276" w:lineRule="auto"/>
      <w:ind w:firstLine="360"/>
      <w:jc w:val="both"/>
    </w:pPr>
    <w:rPr>
      <w:rFonts w:ascii="Times New Roman" w:eastAsia="Calibri" w:hAnsi="Times New Roman" w:cs="Times New Roman"/>
      <w:sz w:val="24"/>
      <w:lang w:val="es-ES_tradnl" w:eastAsia="en-US"/>
    </w:rPr>
  </w:style>
  <w:style w:type="character" w:customStyle="1" w:styleId="TextoindependienteCar">
    <w:name w:val="Texto independiente Car"/>
    <w:basedOn w:val="Fuentedeprrafopredeter"/>
    <w:link w:val="Textoindependiente"/>
    <w:rsid w:val="00D02FD1"/>
    <w:rPr>
      <w:rFonts w:ascii="Times New Roman" w:eastAsia="Calibri" w:hAnsi="Times New Roman" w:cs="Times New Roman"/>
      <w:sz w:val="24"/>
      <w:lang w:val="es-ES_tradnl"/>
    </w:rPr>
  </w:style>
  <w:style w:type="paragraph" w:customStyle="1" w:styleId="ANEXOS">
    <w:name w:val="ANEXOS"/>
    <w:basedOn w:val="Ttulo1"/>
    <w:qFormat/>
    <w:rsid w:val="00D02FD1"/>
    <w:pPr>
      <w:numPr>
        <w:numId w:val="10"/>
      </w:numPr>
      <w:spacing w:before="360" w:after="240" w:line="276" w:lineRule="auto"/>
      <w:jc w:val="both"/>
    </w:pPr>
    <w:rPr>
      <w:rFonts w:ascii="Times New Roman" w:eastAsia="Times New Roman" w:hAnsi="Times New Roman" w:cs="Times New Roman"/>
      <w:color w:val="auto"/>
      <w:lang w:val="es-ES_tradnl" w:eastAsia="en-US"/>
    </w:rPr>
  </w:style>
  <w:style w:type="character" w:customStyle="1" w:styleId="EpgrafeCar">
    <w:name w:val="Epígrafe Car"/>
    <w:aliases w:val=" Car1 Car"/>
    <w:link w:val="Epgrafe"/>
    <w:rsid w:val="00D02FD1"/>
    <w:rPr>
      <w:b/>
      <w:bCs/>
      <w:color w:val="4F81BD" w:themeColor="accent1"/>
      <w:sz w:val="18"/>
      <w:szCs w:val="18"/>
    </w:rPr>
  </w:style>
  <w:style w:type="paragraph" w:customStyle="1" w:styleId="VietaNormal">
    <w:name w:val="ViñetaNormal"/>
    <w:basedOn w:val="Normal"/>
    <w:rsid w:val="005F34F3"/>
    <w:pPr>
      <w:tabs>
        <w:tab w:val="left" w:pos="709"/>
      </w:tabs>
      <w:jc w:val="both"/>
    </w:pPr>
    <w:rPr>
      <w:sz w:val="24"/>
      <w:szCs w:val="24"/>
      <w:lang w:val="es-CL" w:bidi="he-IL"/>
    </w:rPr>
  </w:style>
  <w:style w:type="paragraph" w:customStyle="1" w:styleId="Default">
    <w:name w:val="Default"/>
    <w:rsid w:val="005F34F3"/>
    <w:pPr>
      <w:tabs>
        <w:tab w:val="left" w:pos="709"/>
      </w:tabs>
      <w:suppressAutoHyphens/>
      <w:spacing w:line="276" w:lineRule="atLeast"/>
      <w:ind w:firstLine="360"/>
      <w:jc w:val="both"/>
    </w:pPr>
    <w:rPr>
      <w:rFonts w:ascii="Times New Roman" w:eastAsia="Calibri" w:hAnsi="Times New Roman" w:cs="Times New Roman"/>
      <w:color w:val="00000A"/>
      <w:sz w:val="24"/>
      <w:lang w:val="es-ES"/>
    </w:rPr>
  </w:style>
  <w:style w:type="paragraph" w:customStyle="1" w:styleId="Vietanmero">
    <w:name w:val="Viñeta número"/>
    <w:basedOn w:val="Normal"/>
    <w:rsid w:val="00944856"/>
    <w:pPr>
      <w:tabs>
        <w:tab w:val="left" w:pos="709"/>
      </w:tabs>
      <w:ind w:left="360" w:hanging="360"/>
      <w:jc w:val="both"/>
    </w:pPr>
    <w:rPr>
      <w:lang w:val="es-CL" w:bidi="he-IL"/>
    </w:rPr>
  </w:style>
  <w:style w:type="paragraph" w:customStyle="1" w:styleId="Titulo2">
    <w:name w:val="Titulo 2"/>
    <w:basedOn w:val="Ttulo2"/>
    <w:link w:val="Titulo2Car"/>
    <w:qFormat/>
    <w:rsid w:val="00944856"/>
    <w:pPr>
      <w:spacing w:before="240" w:after="240" w:line="276" w:lineRule="auto"/>
      <w:ind w:left="718"/>
      <w:jc w:val="both"/>
    </w:pPr>
    <w:rPr>
      <w:rFonts w:ascii="Times New Roman" w:eastAsia="Times New Roman" w:hAnsi="Times New Roman" w:cs="Times New Roman"/>
      <w:b/>
      <w:color w:val="auto"/>
      <w:sz w:val="26"/>
      <w:szCs w:val="26"/>
      <w:lang w:val="es-ES_tradnl" w:eastAsia="en-US"/>
    </w:rPr>
  </w:style>
  <w:style w:type="character" w:customStyle="1" w:styleId="Titulo2Car">
    <w:name w:val="Titulo 2 Car"/>
    <w:basedOn w:val="Fuentedeprrafopredeter"/>
    <w:link w:val="Titulo2"/>
    <w:rsid w:val="00944856"/>
    <w:rPr>
      <w:rFonts w:ascii="Times New Roman" w:eastAsia="Times New Roman" w:hAnsi="Times New Roman" w:cs="Times New Roman"/>
      <w:b/>
      <w:bCs/>
      <w:sz w:val="26"/>
      <w:szCs w:val="26"/>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A4B"/>
    <w:pPr>
      <w:spacing w:after="0" w:line="240" w:lineRule="auto"/>
    </w:pPr>
    <w:rPr>
      <w:rFonts w:ascii="Arial" w:eastAsia="Times New Roman" w:hAnsi="Arial" w:cs="Arial"/>
      <w:lang w:val="es-ES" w:eastAsia="es-ES"/>
    </w:rPr>
  </w:style>
  <w:style w:type="paragraph" w:styleId="Ttulo1">
    <w:name w:val="heading 1"/>
    <w:aliases w:val="Hoofdstuk,Título nivel 1"/>
    <w:basedOn w:val="Normal"/>
    <w:next w:val="Normal"/>
    <w:link w:val="Ttulo1Car"/>
    <w:qFormat/>
    <w:rsid w:val="00AB137D"/>
    <w:pPr>
      <w:keepNext/>
      <w:keepLines/>
      <w:numPr>
        <w:numId w:val="1"/>
      </w:numPr>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Major Heading,Paragraaf,Título nivel 2,title 2,Number 2,Título 2 Car1,Título 2 Car Car,Título 2 Car1 Car Car,Título 2 Car Car Car Car"/>
    <w:basedOn w:val="Normal"/>
    <w:next w:val="Normal"/>
    <w:link w:val="Ttulo2Car"/>
    <w:unhideWhenUsed/>
    <w:qFormat/>
    <w:rsid w:val="00B52A1B"/>
    <w:pPr>
      <w:keepNext/>
      <w:keepLines/>
      <w:numPr>
        <w:ilvl w:val="1"/>
        <w:numId w:val="1"/>
      </w:numPr>
      <w:spacing w:before="200"/>
      <w:outlineLvl w:val="1"/>
    </w:pPr>
    <w:rPr>
      <w:rFonts w:asciiTheme="majorHAnsi" w:eastAsiaTheme="majorEastAsia" w:hAnsiTheme="majorHAnsi" w:cstheme="majorBidi"/>
      <w:bCs/>
      <w:color w:val="002060"/>
      <w:sz w:val="28"/>
      <w:szCs w:val="28"/>
    </w:rPr>
  </w:style>
  <w:style w:type="paragraph" w:styleId="Ttulo3">
    <w:name w:val="heading 3"/>
    <w:aliases w:val="título 3,Subparagraaf,Título nivel 3,Number 3,Título 3 Marcia Car,Título 3 Car Car Car,Título 3 Car Car,title 3,H3,Level 1 - 1"/>
    <w:basedOn w:val="Normal"/>
    <w:next w:val="Normal"/>
    <w:link w:val="Ttulo3Car"/>
    <w:unhideWhenUsed/>
    <w:qFormat/>
    <w:rsid w:val="00AB137D"/>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Ttulo4">
    <w:name w:val="heading 4"/>
    <w:aliases w:val="Kopje,Título nivel 4,Título 4amb,title 4,Titulo 4"/>
    <w:basedOn w:val="Normal"/>
    <w:next w:val="Normal"/>
    <w:link w:val="Ttulo4Car"/>
    <w:unhideWhenUsed/>
    <w:qFormat/>
    <w:rsid w:val="00AB137D"/>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nhideWhenUsed/>
    <w:qFormat/>
    <w:rsid w:val="00AB137D"/>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nhideWhenUsed/>
    <w:qFormat/>
    <w:rsid w:val="00AB137D"/>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nhideWhenUsed/>
    <w:qFormat/>
    <w:rsid w:val="00AB137D"/>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nhideWhenUsed/>
    <w:qFormat/>
    <w:rsid w:val="00AB137D"/>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nhideWhenUsed/>
    <w:qFormat/>
    <w:rsid w:val="00AB137D"/>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Hoofdstuk Car,Título nivel 1 Car"/>
    <w:basedOn w:val="Fuentedeprrafopredeter"/>
    <w:link w:val="Ttulo1"/>
    <w:rsid w:val="00AB137D"/>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aliases w:val="Major Heading Car,Paragraaf Car,Título nivel 2 Car,title 2 Car,Number 2 Car,Título 2 Car1 Car,Título 2 Car Car Car,Título 2 Car1 Car Car Car,Título 2 Car Car Car Car Car"/>
    <w:basedOn w:val="Fuentedeprrafopredeter"/>
    <w:link w:val="Ttulo2"/>
    <w:rsid w:val="00B52A1B"/>
    <w:rPr>
      <w:rFonts w:asciiTheme="majorHAnsi" w:eastAsiaTheme="majorEastAsia" w:hAnsiTheme="majorHAnsi" w:cstheme="majorBidi"/>
      <w:bCs/>
      <w:color w:val="002060"/>
      <w:sz w:val="28"/>
      <w:szCs w:val="28"/>
      <w:lang w:val="es-ES" w:eastAsia="es-ES"/>
    </w:rPr>
  </w:style>
  <w:style w:type="character" w:customStyle="1" w:styleId="Ttulo3Car">
    <w:name w:val="Título 3 Car"/>
    <w:aliases w:val="título 3 Car,Subparagraaf Car,Título nivel 3 Car,Number 3 Car,Título 3 Marcia Car Car,Título 3 Car Car Car Car,Título 3 Car Car Car1,title 3 Car,H3 Car,Level 1 - 1 Car"/>
    <w:basedOn w:val="Fuentedeprrafopredeter"/>
    <w:link w:val="Ttulo3"/>
    <w:rsid w:val="00AB137D"/>
    <w:rPr>
      <w:rFonts w:asciiTheme="majorHAnsi" w:eastAsiaTheme="majorEastAsia" w:hAnsiTheme="majorHAnsi" w:cstheme="majorBidi"/>
      <w:b/>
      <w:bCs/>
      <w:color w:val="4F81BD" w:themeColor="accent1"/>
      <w:lang w:val="es-ES" w:eastAsia="es-ES"/>
    </w:rPr>
  </w:style>
  <w:style w:type="character" w:customStyle="1" w:styleId="Ttulo4Car">
    <w:name w:val="Título 4 Car"/>
    <w:aliases w:val="Kopje Car,Título nivel 4 Car,Título 4amb Car,title 4 Car,Titulo 4 Car"/>
    <w:basedOn w:val="Fuentedeprrafopredeter"/>
    <w:link w:val="Ttulo4"/>
    <w:rsid w:val="00AB137D"/>
    <w:rPr>
      <w:rFonts w:asciiTheme="majorHAnsi" w:eastAsiaTheme="majorEastAsia" w:hAnsiTheme="majorHAnsi" w:cstheme="majorBidi"/>
      <w:b/>
      <w:bCs/>
      <w:i/>
      <w:iCs/>
      <w:color w:val="4F81BD" w:themeColor="accent1"/>
      <w:lang w:val="es-ES" w:eastAsia="es-ES"/>
    </w:rPr>
  </w:style>
  <w:style w:type="character" w:customStyle="1" w:styleId="Ttulo5Car">
    <w:name w:val="Título 5 Car"/>
    <w:basedOn w:val="Fuentedeprrafopredeter"/>
    <w:link w:val="Ttulo5"/>
    <w:rsid w:val="00AB137D"/>
    <w:rPr>
      <w:rFonts w:asciiTheme="majorHAnsi" w:eastAsiaTheme="majorEastAsia" w:hAnsiTheme="majorHAnsi" w:cstheme="majorBidi"/>
      <w:color w:val="243F60" w:themeColor="accent1" w:themeShade="7F"/>
      <w:lang w:val="es-ES" w:eastAsia="es-ES"/>
    </w:rPr>
  </w:style>
  <w:style w:type="character" w:customStyle="1" w:styleId="Ttulo6Car">
    <w:name w:val="Título 6 Car"/>
    <w:basedOn w:val="Fuentedeprrafopredeter"/>
    <w:link w:val="Ttulo6"/>
    <w:rsid w:val="00AB137D"/>
    <w:rPr>
      <w:rFonts w:asciiTheme="majorHAnsi" w:eastAsiaTheme="majorEastAsia" w:hAnsiTheme="majorHAnsi" w:cstheme="majorBidi"/>
      <w:i/>
      <w:iCs/>
      <w:color w:val="243F60" w:themeColor="accent1" w:themeShade="7F"/>
      <w:lang w:val="es-ES" w:eastAsia="es-ES"/>
    </w:rPr>
  </w:style>
  <w:style w:type="character" w:customStyle="1" w:styleId="Ttulo7Car">
    <w:name w:val="Título 7 Car"/>
    <w:basedOn w:val="Fuentedeprrafopredeter"/>
    <w:link w:val="Ttulo7"/>
    <w:rsid w:val="00AB137D"/>
    <w:rPr>
      <w:rFonts w:asciiTheme="majorHAnsi" w:eastAsiaTheme="majorEastAsia" w:hAnsiTheme="majorHAnsi" w:cstheme="majorBidi"/>
      <w:i/>
      <w:iCs/>
      <w:color w:val="404040" w:themeColor="text1" w:themeTint="BF"/>
      <w:lang w:val="es-ES" w:eastAsia="es-ES"/>
    </w:rPr>
  </w:style>
  <w:style w:type="character" w:customStyle="1" w:styleId="Ttulo8Car">
    <w:name w:val="Título 8 Car"/>
    <w:basedOn w:val="Fuentedeprrafopredeter"/>
    <w:link w:val="Ttulo8"/>
    <w:rsid w:val="00AB137D"/>
    <w:rPr>
      <w:rFonts w:asciiTheme="majorHAnsi" w:eastAsiaTheme="majorEastAsia" w:hAnsiTheme="majorHAnsi" w:cstheme="majorBidi"/>
      <w:color w:val="404040" w:themeColor="text1" w:themeTint="BF"/>
      <w:sz w:val="20"/>
      <w:szCs w:val="20"/>
      <w:lang w:val="es-ES" w:eastAsia="es-ES"/>
    </w:rPr>
  </w:style>
  <w:style w:type="character" w:customStyle="1" w:styleId="Ttulo9Car">
    <w:name w:val="Título 9 Car"/>
    <w:basedOn w:val="Fuentedeprrafopredeter"/>
    <w:link w:val="Ttulo9"/>
    <w:rsid w:val="00AB137D"/>
    <w:rPr>
      <w:rFonts w:asciiTheme="majorHAnsi" w:eastAsiaTheme="majorEastAsia" w:hAnsiTheme="majorHAnsi" w:cstheme="majorBidi"/>
      <w:i/>
      <w:iCs/>
      <w:color w:val="404040" w:themeColor="text1" w:themeTint="BF"/>
      <w:sz w:val="20"/>
      <w:szCs w:val="20"/>
      <w:lang w:val="es-ES" w:eastAsia="es-ES"/>
    </w:rPr>
  </w:style>
  <w:style w:type="character" w:styleId="Hipervnculo">
    <w:name w:val="Hyperlink"/>
    <w:basedOn w:val="Fuentedeprrafopredeter"/>
    <w:uiPriority w:val="99"/>
    <w:rsid w:val="00AB137D"/>
    <w:rPr>
      <w:color w:val="0000FF"/>
      <w:u w:val="single"/>
    </w:rPr>
  </w:style>
  <w:style w:type="paragraph" w:styleId="Prrafodelista">
    <w:name w:val="List Paragraph"/>
    <w:basedOn w:val="Normal"/>
    <w:uiPriority w:val="34"/>
    <w:qFormat/>
    <w:rsid w:val="00AB137D"/>
    <w:pPr>
      <w:spacing w:after="200" w:line="276" w:lineRule="auto"/>
      <w:ind w:left="720"/>
      <w:contextualSpacing/>
    </w:pPr>
    <w:rPr>
      <w:rFonts w:asciiTheme="minorHAnsi" w:eastAsiaTheme="minorHAnsi" w:hAnsiTheme="minorHAnsi" w:cstheme="minorBidi"/>
      <w:lang w:val="es-CL" w:eastAsia="en-US"/>
    </w:rPr>
  </w:style>
  <w:style w:type="paragraph" w:styleId="Encabezado">
    <w:name w:val="header"/>
    <w:aliases w:val="Viñedos Torreon"/>
    <w:basedOn w:val="Normal"/>
    <w:link w:val="EncabezadoCar"/>
    <w:unhideWhenUsed/>
    <w:rsid w:val="00AB137D"/>
    <w:pPr>
      <w:tabs>
        <w:tab w:val="center" w:pos="4252"/>
        <w:tab w:val="right" w:pos="8504"/>
      </w:tabs>
    </w:pPr>
  </w:style>
  <w:style w:type="character" w:customStyle="1" w:styleId="EncabezadoCar">
    <w:name w:val="Encabezado Car"/>
    <w:aliases w:val="Viñedos Torreon Car"/>
    <w:basedOn w:val="Fuentedeprrafopredeter"/>
    <w:link w:val="Encabezado"/>
    <w:rsid w:val="00AB137D"/>
    <w:rPr>
      <w:rFonts w:ascii="Arial" w:eastAsia="Times New Roman" w:hAnsi="Arial" w:cs="Arial"/>
      <w:lang w:val="es-ES" w:eastAsia="es-ES"/>
    </w:rPr>
  </w:style>
  <w:style w:type="paragraph" w:styleId="Piedepgina">
    <w:name w:val="footer"/>
    <w:basedOn w:val="Normal"/>
    <w:link w:val="PiedepginaCar"/>
    <w:uiPriority w:val="99"/>
    <w:unhideWhenUsed/>
    <w:rsid w:val="00AB137D"/>
    <w:pPr>
      <w:tabs>
        <w:tab w:val="center" w:pos="4252"/>
        <w:tab w:val="right" w:pos="8504"/>
      </w:tabs>
    </w:pPr>
  </w:style>
  <w:style w:type="character" w:customStyle="1" w:styleId="PiedepginaCar">
    <w:name w:val="Pie de página Car"/>
    <w:basedOn w:val="Fuentedeprrafopredeter"/>
    <w:link w:val="Piedepgina"/>
    <w:uiPriority w:val="99"/>
    <w:rsid w:val="00AB137D"/>
    <w:rPr>
      <w:rFonts w:ascii="Arial" w:eastAsia="Times New Roman" w:hAnsi="Arial" w:cs="Arial"/>
      <w:lang w:val="es-ES" w:eastAsia="es-ES"/>
    </w:rPr>
  </w:style>
  <w:style w:type="paragraph" w:styleId="Textodeglobo">
    <w:name w:val="Balloon Text"/>
    <w:basedOn w:val="Normal"/>
    <w:link w:val="TextodegloboCar"/>
    <w:uiPriority w:val="99"/>
    <w:semiHidden/>
    <w:unhideWhenUsed/>
    <w:rsid w:val="00AB137D"/>
    <w:rPr>
      <w:rFonts w:ascii="Tahoma" w:hAnsi="Tahoma" w:cs="Tahoma"/>
      <w:sz w:val="16"/>
      <w:szCs w:val="16"/>
    </w:rPr>
  </w:style>
  <w:style w:type="character" w:customStyle="1" w:styleId="TextodegloboCar">
    <w:name w:val="Texto de globo Car"/>
    <w:basedOn w:val="Fuentedeprrafopredeter"/>
    <w:link w:val="Textodeglobo"/>
    <w:uiPriority w:val="99"/>
    <w:semiHidden/>
    <w:rsid w:val="00AB137D"/>
    <w:rPr>
      <w:rFonts w:ascii="Tahoma" w:eastAsia="Times New Roman" w:hAnsi="Tahoma" w:cs="Tahoma"/>
      <w:sz w:val="16"/>
      <w:szCs w:val="16"/>
      <w:lang w:val="es-ES" w:eastAsia="es-ES"/>
    </w:rPr>
  </w:style>
  <w:style w:type="table" w:styleId="Tablaconcuadrcula">
    <w:name w:val="Table Grid"/>
    <w:basedOn w:val="Tablanormal"/>
    <w:uiPriority w:val="59"/>
    <w:rsid w:val="009F2D5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
    <w:name w:val="Title"/>
    <w:basedOn w:val="Normal"/>
    <w:next w:val="Normal"/>
    <w:link w:val="TtuloCar"/>
    <w:uiPriority w:val="10"/>
    <w:qFormat/>
    <w:rsid w:val="00E56C5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TtuloCar">
    <w:name w:val="Título Car"/>
    <w:basedOn w:val="Fuentedeprrafopredeter"/>
    <w:link w:val="Ttulo"/>
    <w:uiPriority w:val="10"/>
    <w:rsid w:val="00E56C5D"/>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E56C5D"/>
    <w:pPr>
      <w:numPr>
        <w:ilvl w:val="1"/>
      </w:numPr>
      <w:spacing w:after="200" w:line="276" w:lineRule="auto"/>
    </w:pPr>
    <w:rPr>
      <w:rFonts w:asciiTheme="majorHAnsi" w:eastAsiaTheme="majorEastAsia" w:hAnsiTheme="majorHAnsi" w:cstheme="majorBidi"/>
      <w:i/>
      <w:iCs/>
      <w:color w:val="4F81BD" w:themeColor="accent1"/>
      <w:spacing w:val="15"/>
      <w:sz w:val="24"/>
      <w:szCs w:val="24"/>
      <w:lang w:val="es-CL" w:eastAsia="en-US"/>
    </w:rPr>
  </w:style>
  <w:style w:type="character" w:customStyle="1" w:styleId="SubttuloCar">
    <w:name w:val="Subtítulo Car"/>
    <w:basedOn w:val="Fuentedeprrafopredeter"/>
    <w:link w:val="Subttulo"/>
    <w:uiPriority w:val="11"/>
    <w:rsid w:val="00E56C5D"/>
    <w:rPr>
      <w:rFonts w:asciiTheme="majorHAnsi" w:eastAsiaTheme="majorEastAsia" w:hAnsiTheme="majorHAnsi" w:cstheme="majorBidi"/>
      <w:i/>
      <w:iCs/>
      <w:color w:val="4F81BD" w:themeColor="accent1"/>
      <w:spacing w:val="15"/>
      <w:sz w:val="24"/>
      <w:szCs w:val="24"/>
    </w:rPr>
  </w:style>
  <w:style w:type="paragraph" w:styleId="TtulodeTDC">
    <w:name w:val="TOC Heading"/>
    <w:basedOn w:val="Ttulo1"/>
    <w:next w:val="Normal"/>
    <w:uiPriority w:val="39"/>
    <w:semiHidden/>
    <w:unhideWhenUsed/>
    <w:qFormat/>
    <w:rsid w:val="00E56C5D"/>
    <w:pPr>
      <w:numPr>
        <w:numId w:val="0"/>
      </w:numPr>
      <w:spacing w:line="276" w:lineRule="auto"/>
      <w:outlineLvl w:val="9"/>
    </w:pPr>
    <w:rPr>
      <w:lang w:val="es-CL" w:eastAsia="es-CL"/>
    </w:rPr>
  </w:style>
  <w:style w:type="paragraph" w:styleId="TDC1">
    <w:name w:val="toc 1"/>
    <w:basedOn w:val="Normal"/>
    <w:next w:val="Normal"/>
    <w:autoRedefine/>
    <w:uiPriority w:val="39"/>
    <w:unhideWhenUsed/>
    <w:rsid w:val="00E56C5D"/>
    <w:pPr>
      <w:spacing w:after="100" w:line="276" w:lineRule="auto"/>
    </w:pPr>
    <w:rPr>
      <w:rFonts w:asciiTheme="minorHAnsi" w:eastAsiaTheme="minorHAnsi" w:hAnsiTheme="minorHAnsi" w:cstheme="minorBidi"/>
      <w:lang w:val="es-CL" w:eastAsia="en-US"/>
    </w:rPr>
  </w:style>
  <w:style w:type="paragraph" w:styleId="TDC2">
    <w:name w:val="toc 2"/>
    <w:basedOn w:val="Normal"/>
    <w:next w:val="Normal"/>
    <w:autoRedefine/>
    <w:uiPriority w:val="39"/>
    <w:unhideWhenUsed/>
    <w:rsid w:val="00E56C5D"/>
    <w:pPr>
      <w:spacing w:after="100" w:line="276" w:lineRule="auto"/>
      <w:ind w:left="220"/>
    </w:pPr>
    <w:rPr>
      <w:rFonts w:asciiTheme="minorHAnsi" w:eastAsiaTheme="minorHAnsi" w:hAnsiTheme="minorHAnsi" w:cstheme="minorBidi"/>
      <w:lang w:val="es-CL" w:eastAsia="en-US"/>
    </w:rPr>
  </w:style>
  <w:style w:type="paragraph" w:styleId="Tabladeilustraciones">
    <w:name w:val="table of figures"/>
    <w:basedOn w:val="Normal"/>
    <w:next w:val="Normal"/>
    <w:uiPriority w:val="99"/>
    <w:unhideWhenUsed/>
    <w:rsid w:val="00E56C5D"/>
    <w:pPr>
      <w:spacing w:line="276" w:lineRule="auto"/>
    </w:pPr>
    <w:rPr>
      <w:rFonts w:asciiTheme="minorHAnsi" w:eastAsiaTheme="minorHAnsi" w:hAnsiTheme="minorHAnsi" w:cstheme="minorBidi"/>
      <w:lang w:val="es-CL" w:eastAsia="en-US"/>
    </w:rPr>
  </w:style>
  <w:style w:type="paragraph" w:styleId="Epgrafe">
    <w:name w:val="caption"/>
    <w:aliases w:val=" Car1"/>
    <w:basedOn w:val="Normal"/>
    <w:next w:val="Normal"/>
    <w:link w:val="EpgrafeCar"/>
    <w:unhideWhenUsed/>
    <w:qFormat/>
    <w:rsid w:val="00E56C5D"/>
    <w:pPr>
      <w:spacing w:after="200"/>
    </w:pPr>
    <w:rPr>
      <w:rFonts w:asciiTheme="minorHAnsi" w:eastAsiaTheme="minorHAnsi" w:hAnsiTheme="minorHAnsi" w:cstheme="minorBidi"/>
      <w:b/>
      <w:bCs/>
      <w:color w:val="4F81BD" w:themeColor="accent1"/>
      <w:sz w:val="18"/>
      <w:szCs w:val="18"/>
      <w:lang w:val="es-CL" w:eastAsia="en-US"/>
    </w:rPr>
  </w:style>
  <w:style w:type="paragraph" w:styleId="Textonotapie">
    <w:name w:val="footnote text"/>
    <w:basedOn w:val="Normal"/>
    <w:link w:val="TextonotapieCar"/>
    <w:unhideWhenUsed/>
    <w:rsid w:val="00D02FD1"/>
    <w:pPr>
      <w:ind w:firstLine="360"/>
    </w:pPr>
    <w:rPr>
      <w:rFonts w:ascii="Calibri" w:hAnsi="Calibri" w:cs="Times New Roman"/>
      <w:sz w:val="20"/>
      <w:szCs w:val="20"/>
      <w:lang w:val="en-US" w:eastAsia="en-US" w:bidi="en-US"/>
    </w:rPr>
  </w:style>
  <w:style w:type="character" w:customStyle="1" w:styleId="TextonotapieCar">
    <w:name w:val="Texto nota pie Car"/>
    <w:basedOn w:val="Fuentedeprrafopredeter"/>
    <w:link w:val="Textonotapie"/>
    <w:rsid w:val="00D02FD1"/>
    <w:rPr>
      <w:rFonts w:ascii="Calibri" w:eastAsia="Times New Roman" w:hAnsi="Calibri" w:cs="Times New Roman"/>
      <w:sz w:val="20"/>
      <w:szCs w:val="20"/>
      <w:lang w:val="en-US" w:bidi="en-US"/>
    </w:rPr>
  </w:style>
  <w:style w:type="character" w:styleId="Refdenotaalpie">
    <w:name w:val="footnote reference"/>
    <w:unhideWhenUsed/>
    <w:rsid w:val="00D02FD1"/>
    <w:rPr>
      <w:vertAlign w:val="superscript"/>
    </w:rPr>
  </w:style>
  <w:style w:type="paragraph" w:styleId="Textoindependiente">
    <w:name w:val="Body Text"/>
    <w:basedOn w:val="Normal"/>
    <w:link w:val="TextoindependienteCar"/>
    <w:unhideWhenUsed/>
    <w:rsid w:val="00D02FD1"/>
    <w:pPr>
      <w:spacing w:after="120" w:line="276" w:lineRule="auto"/>
      <w:ind w:firstLine="360"/>
      <w:jc w:val="both"/>
    </w:pPr>
    <w:rPr>
      <w:rFonts w:ascii="Times New Roman" w:eastAsia="Calibri" w:hAnsi="Times New Roman" w:cs="Times New Roman"/>
      <w:sz w:val="24"/>
      <w:lang w:val="es-ES_tradnl" w:eastAsia="en-US"/>
    </w:rPr>
  </w:style>
  <w:style w:type="character" w:customStyle="1" w:styleId="TextoindependienteCar">
    <w:name w:val="Texto independiente Car"/>
    <w:basedOn w:val="Fuentedeprrafopredeter"/>
    <w:link w:val="Textoindependiente"/>
    <w:rsid w:val="00D02FD1"/>
    <w:rPr>
      <w:rFonts w:ascii="Times New Roman" w:eastAsia="Calibri" w:hAnsi="Times New Roman" w:cs="Times New Roman"/>
      <w:sz w:val="24"/>
      <w:lang w:val="es-ES_tradnl"/>
    </w:rPr>
  </w:style>
  <w:style w:type="paragraph" w:customStyle="1" w:styleId="ANEXOS">
    <w:name w:val="ANEXOS"/>
    <w:basedOn w:val="Ttulo1"/>
    <w:qFormat/>
    <w:rsid w:val="00D02FD1"/>
    <w:pPr>
      <w:numPr>
        <w:numId w:val="10"/>
      </w:numPr>
      <w:spacing w:before="360" w:after="240" w:line="276" w:lineRule="auto"/>
      <w:jc w:val="both"/>
    </w:pPr>
    <w:rPr>
      <w:rFonts w:ascii="Times New Roman" w:eastAsia="Times New Roman" w:hAnsi="Times New Roman" w:cs="Times New Roman"/>
      <w:color w:val="auto"/>
      <w:lang w:val="es-ES_tradnl" w:eastAsia="en-US"/>
    </w:rPr>
  </w:style>
  <w:style w:type="character" w:customStyle="1" w:styleId="EpgrafeCar">
    <w:name w:val="Epígrafe Car"/>
    <w:aliases w:val=" Car1 Car"/>
    <w:link w:val="Epgrafe"/>
    <w:rsid w:val="00D02FD1"/>
    <w:rPr>
      <w:b/>
      <w:bCs/>
      <w:color w:val="4F81BD" w:themeColor="accent1"/>
      <w:sz w:val="18"/>
      <w:szCs w:val="18"/>
    </w:rPr>
  </w:style>
  <w:style w:type="paragraph" w:customStyle="1" w:styleId="VietaNormal">
    <w:name w:val="ViñetaNormal"/>
    <w:basedOn w:val="Normal"/>
    <w:rsid w:val="005F34F3"/>
    <w:pPr>
      <w:tabs>
        <w:tab w:val="left" w:pos="709"/>
      </w:tabs>
      <w:jc w:val="both"/>
    </w:pPr>
    <w:rPr>
      <w:sz w:val="24"/>
      <w:szCs w:val="24"/>
      <w:lang w:val="es-CL" w:bidi="he-IL"/>
    </w:rPr>
  </w:style>
  <w:style w:type="paragraph" w:customStyle="1" w:styleId="Default">
    <w:name w:val="Default"/>
    <w:rsid w:val="005F34F3"/>
    <w:pPr>
      <w:tabs>
        <w:tab w:val="left" w:pos="709"/>
      </w:tabs>
      <w:suppressAutoHyphens/>
      <w:spacing w:line="276" w:lineRule="atLeast"/>
      <w:ind w:firstLine="360"/>
      <w:jc w:val="both"/>
    </w:pPr>
    <w:rPr>
      <w:rFonts w:ascii="Times New Roman" w:eastAsia="Calibri" w:hAnsi="Times New Roman" w:cs="Times New Roman"/>
      <w:color w:val="00000A"/>
      <w:sz w:val="24"/>
      <w:lang w:val="es-ES"/>
    </w:rPr>
  </w:style>
  <w:style w:type="paragraph" w:customStyle="1" w:styleId="Vietanmero">
    <w:name w:val="Viñeta número"/>
    <w:basedOn w:val="Normal"/>
    <w:rsid w:val="00944856"/>
    <w:pPr>
      <w:tabs>
        <w:tab w:val="left" w:pos="709"/>
      </w:tabs>
      <w:ind w:left="360" w:hanging="360"/>
      <w:jc w:val="both"/>
    </w:pPr>
    <w:rPr>
      <w:lang w:val="es-CL" w:bidi="he-IL"/>
    </w:rPr>
  </w:style>
  <w:style w:type="paragraph" w:customStyle="1" w:styleId="Titulo2">
    <w:name w:val="Titulo 2"/>
    <w:basedOn w:val="Ttulo2"/>
    <w:link w:val="Titulo2Car"/>
    <w:qFormat/>
    <w:rsid w:val="00944856"/>
    <w:pPr>
      <w:spacing w:before="240" w:after="240" w:line="276" w:lineRule="auto"/>
      <w:ind w:left="718"/>
      <w:jc w:val="both"/>
    </w:pPr>
    <w:rPr>
      <w:rFonts w:ascii="Times New Roman" w:eastAsia="Times New Roman" w:hAnsi="Times New Roman" w:cs="Times New Roman"/>
      <w:b/>
      <w:color w:val="auto"/>
      <w:sz w:val="26"/>
      <w:szCs w:val="26"/>
      <w:lang w:val="es-ES_tradnl" w:eastAsia="en-US"/>
    </w:rPr>
  </w:style>
  <w:style w:type="character" w:customStyle="1" w:styleId="Titulo2Car">
    <w:name w:val="Titulo 2 Car"/>
    <w:basedOn w:val="Fuentedeprrafopredeter"/>
    <w:link w:val="Titulo2"/>
    <w:rsid w:val="00944856"/>
    <w:rPr>
      <w:rFonts w:ascii="Times New Roman" w:eastAsia="Times New Roman" w:hAnsi="Times New Roman" w:cs="Times New Roman"/>
      <w:b/>
      <w:bCs/>
      <w:sz w:val="26"/>
      <w:szCs w:val="26"/>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022286">
      <w:bodyDiv w:val="1"/>
      <w:marLeft w:val="0"/>
      <w:marRight w:val="0"/>
      <w:marTop w:val="0"/>
      <w:marBottom w:val="0"/>
      <w:divBdr>
        <w:top w:val="none" w:sz="0" w:space="0" w:color="auto"/>
        <w:left w:val="none" w:sz="0" w:space="0" w:color="auto"/>
        <w:bottom w:val="none" w:sz="0" w:space="0" w:color="auto"/>
        <w:right w:val="none" w:sz="0" w:space="0" w:color="auto"/>
      </w:divBdr>
    </w:div>
    <w:div w:id="1493568640">
      <w:bodyDiv w:val="1"/>
      <w:marLeft w:val="0"/>
      <w:marRight w:val="0"/>
      <w:marTop w:val="0"/>
      <w:marBottom w:val="0"/>
      <w:divBdr>
        <w:top w:val="none" w:sz="0" w:space="0" w:color="auto"/>
        <w:left w:val="none" w:sz="0" w:space="0" w:color="auto"/>
        <w:bottom w:val="none" w:sz="0" w:space="0" w:color="auto"/>
        <w:right w:val="none" w:sz="0" w:space="0" w:color="auto"/>
      </w:divBdr>
    </w:div>
    <w:div w:id="1990749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10.wmf"/><Relationship Id="rId26" Type="http://schemas.openxmlformats.org/officeDocument/2006/relationships/image" Target="media/image12.wmf"/><Relationship Id="rId3" Type="http://schemas.microsoft.com/office/2007/relationships/stylesWithEffects" Target="stylesWithEffect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9.wmf"/><Relationship Id="rId25"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8.wmf"/><Relationship Id="rId20" Type="http://schemas.openxmlformats.org/officeDocument/2006/relationships/chart" Target="charts/chart2.xml"/><Relationship Id="rId29" Type="http://schemas.openxmlformats.org/officeDocument/2006/relationships/image" Target="media/image15.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chart" Target="charts/chart5.xml"/><Relationship Id="rId28" Type="http://schemas.openxmlformats.org/officeDocument/2006/relationships/image" Target="media/image14.emf"/><Relationship Id="rId10" Type="http://schemas.openxmlformats.org/officeDocument/2006/relationships/image" Target="media/image3.jpeg"/><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wmf"/><Relationship Id="rId22" Type="http://schemas.openxmlformats.org/officeDocument/2006/relationships/chart" Target="charts/chart4.xml"/><Relationship Id="rId27" Type="http://schemas.openxmlformats.org/officeDocument/2006/relationships/image" Target="media/image13.emf"/><Relationship Id="rId30" Type="http://schemas.openxmlformats.org/officeDocument/2006/relationships/image" Target="media/image16.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AppData\Local\Microsoft\Windows\Temporary%20Internet%20Files\Content.Outlook\TZWICPH8\Gr&#225;ficas%20an&#225;lisis%20encues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Lugar</a:t>
            </a:r>
            <a:r>
              <a:rPr lang="es-CL" baseline="0"/>
              <a:t> disposición final RSD </a:t>
            </a:r>
            <a:endParaRPr lang="es-CL"/>
          </a:p>
        </c:rich>
      </c:tx>
      <c:overlay val="0"/>
    </c:title>
    <c:autoTitleDeleted val="0"/>
    <c:plotArea>
      <c:layout/>
      <c:pieChart>
        <c:varyColors val="1"/>
        <c:ser>
          <c:idx val="0"/>
          <c:order val="0"/>
          <c:explosion val="25"/>
          <c:dLbls>
            <c:showLegendKey val="0"/>
            <c:showVal val="0"/>
            <c:showCatName val="0"/>
            <c:showSerName val="0"/>
            <c:showPercent val="1"/>
            <c:showBubbleSize val="0"/>
            <c:showLeaderLines val="1"/>
          </c:dLbls>
          <c:cat>
            <c:strRef>
              <c:f>Gráficas!$B$56:$B$58</c:f>
              <c:strCache>
                <c:ptCount val="3"/>
                <c:pt idx="0">
                  <c:v>Vertedero</c:v>
                </c:pt>
                <c:pt idx="1">
                  <c:v>Relleno Sanitario</c:v>
                </c:pt>
                <c:pt idx="2">
                  <c:v>No responde</c:v>
                </c:pt>
              </c:strCache>
            </c:strRef>
          </c:cat>
          <c:val>
            <c:numRef>
              <c:f>Gráficas!$C$56:$C$58</c:f>
              <c:numCache>
                <c:formatCode>General</c:formatCode>
                <c:ptCount val="3"/>
                <c:pt idx="0">
                  <c:v>96</c:v>
                </c:pt>
                <c:pt idx="1">
                  <c:v>107</c:v>
                </c:pt>
                <c:pt idx="2">
                  <c:v>6</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sz="1600"/>
              <a:t>Localización</a:t>
            </a:r>
            <a:r>
              <a:rPr lang="es-CL" sz="1600" baseline="0"/>
              <a:t> lugar disposición final RSD</a:t>
            </a:r>
            <a:endParaRPr lang="es-CL" sz="1600"/>
          </a:p>
        </c:rich>
      </c:tx>
      <c:overlay val="0"/>
    </c:title>
    <c:autoTitleDeleted val="0"/>
    <c:plotArea>
      <c:layout/>
      <c:pieChart>
        <c:varyColors val="1"/>
        <c:ser>
          <c:idx val="0"/>
          <c:order val="0"/>
          <c:explosion val="25"/>
          <c:dLbls>
            <c:showLegendKey val="0"/>
            <c:showVal val="0"/>
            <c:showCatName val="0"/>
            <c:showSerName val="0"/>
            <c:showPercent val="1"/>
            <c:showBubbleSize val="0"/>
            <c:showLeaderLines val="1"/>
          </c:dLbls>
          <c:cat>
            <c:strRef>
              <c:f>Gráficas!$B$108:$B$110</c:f>
              <c:strCache>
                <c:ptCount val="3"/>
                <c:pt idx="0">
                  <c:v>Dentro de la comuna</c:v>
                </c:pt>
                <c:pt idx="1">
                  <c:v>Fuera de la comuna</c:v>
                </c:pt>
                <c:pt idx="2">
                  <c:v>No responde</c:v>
                </c:pt>
              </c:strCache>
            </c:strRef>
          </c:cat>
          <c:val>
            <c:numRef>
              <c:f>Gráficas!$C$108:$C$110</c:f>
              <c:numCache>
                <c:formatCode>General</c:formatCode>
                <c:ptCount val="3"/>
                <c:pt idx="0">
                  <c:v>57</c:v>
                </c:pt>
                <c:pt idx="1">
                  <c:v>144</c:v>
                </c:pt>
                <c:pt idx="2">
                  <c:v>8</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sz="1600"/>
              <a:t>Tipo administración disposición final RSD</a:t>
            </a:r>
          </a:p>
        </c:rich>
      </c:tx>
      <c:overlay val="0"/>
    </c:title>
    <c:autoTitleDeleted val="0"/>
    <c:plotArea>
      <c:layout/>
      <c:pieChart>
        <c:varyColors val="1"/>
        <c:ser>
          <c:idx val="0"/>
          <c:order val="0"/>
          <c:explosion val="25"/>
          <c:dLbls>
            <c:showLegendKey val="0"/>
            <c:showVal val="0"/>
            <c:showCatName val="0"/>
            <c:showSerName val="0"/>
            <c:showPercent val="1"/>
            <c:showBubbleSize val="0"/>
            <c:showLeaderLines val="1"/>
          </c:dLbls>
          <c:cat>
            <c:strRef>
              <c:f>Gráficas!$B$90:$B$92</c:f>
              <c:strCache>
                <c:ptCount val="3"/>
                <c:pt idx="0">
                  <c:v>Municipal</c:v>
                </c:pt>
                <c:pt idx="1">
                  <c:v>Privada</c:v>
                </c:pt>
                <c:pt idx="2">
                  <c:v>No responde </c:v>
                </c:pt>
              </c:strCache>
            </c:strRef>
          </c:cat>
          <c:val>
            <c:numRef>
              <c:f>Gráficas!$C$90:$C$92</c:f>
              <c:numCache>
                <c:formatCode>General</c:formatCode>
                <c:ptCount val="3"/>
                <c:pt idx="0">
                  <c:v>56</c:v>
                </c:pt>
                <c:pt idx="1">
                  <c:v>142</c:v>
                </c:pt>
                <c:pt idx="2">
                  <c:v>11</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sz="1600"/>
              <a:t>Tipo</a:t>
            </a:r>
            <a:r>
              <a:rPr lang="es-CL" sz="1600" baseline="0"/>
              <a:t> administración en recolección RSD</a:t>
            </a:r>
          </a:p>
        </c:rich>
      </c:tx>
      <c:overlay val="0"/>
    </c:title>
    <c:autoTitleDeleted val="0"/>
    <c:plotArea>
      <c:layout/>
      <c:pieChart>
        <c:varyColors val="1"/>
        <c:ser>
          <c:idx val="0"/>
          <c:order val="0"/>
          <c:explosion val="25"/>
          <c:dLbls>
            <c:showLegendKey val="0"/>
            <c:showVal val="0"/>
            <c:showCatName val="0"/>
            <c:showSerName val="0"/>
            <c:showPercent val="1"/>
            <c:showBubbleSize val="0"/>
            <c:showLeaderLines val="1"/>
          </c:dLbls>
          <c:cat>
            <c:strRef>
              <c:f>Gráficas!$B$21:$B$24</c:f>
              <c:strCache>
                <c:ptCount val="4"/>
                <c:pt idx="0">
                  <c:v>Municipal</c:v>
                </c:pt>
                <c:pt idx="1">
                  <c:v>Privada</c:v>
                </c:pt>
                <c:pt idx="2">
                  <c:v>Mixto</c:v>
                </c:pt>
                <c:pt idx="3">
                  <c:v>Incongruente</c:v>
                </c:pt>
              </c:strCache>
            </c:strRef>
          </c:cat>
          <c:val>
            <c:numRef>
              <c:f>Gráficas!$C$21:$C$24</c:f>
              <c:numCache>
                <c:formatCode>General</c:formatCode>
                <c:ptCount val="4"/>
                <c:pt idx="0">
                  <c:v>60</c:v>
                </c:pt>
                <c:pt idx="1">
                  <c:v>91</c:v>
                </c:pt>
                <c:pt idx="2">
                  <c:v>51</c:v>
                </c:pt>
                <c:pt idx="3">
                  <c:v>7</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Formato de recolección</a:t>
            </a:r>
            <a:r>
              <a:rPr lang="es-CL" baseline="0"/>
              <a:t> RSD</a:t>
            </a:r>
            <a:endParaRPr lang="es-CL"/>
          </a:p>
        </c:rich>
      </c:tx>
      <c:layout>
        <c:manualLayout>
          <c:xMode val="edge"/>
          <c:yMode val="edge"/>
          <c:x val="0.21227077865266838"/>
          <c:y val="5.0925925925925923E-2"/>
        </c:manualLayout>
      </c:layout>
      <c:overlay val="0"/>
    </c:title>
    <c:autoTitleDeleted val="0"/>
    <c:plotArea>
      <c:layout>
        <c:manualLayout>
          <c:layoutTarget val="inner"/>
          <c:xMode val="edge"/>
          <c:yMode val="edge"/>
          <c:x val="0.33496609798775318"/>
          <c:y val="0.32924431321084996"/>
          <c:w val="0.34395669291338582"/>
          <c:h val="0.57326115485564189"/>
        </c:manualLayout>
      </c:layout>
      <c:pieChart>
        <c:varyColors val="1"/>
        <c:ser>
          <c:idx val="0"/>
          <c:order val="0"/>
          <c:explosion val="25"/>
          <c:dLbls>
            <c:showLegendKey val="0"/>
            <c:showVal val="0"/>
            <c:showCatName val="0"/>
            <c:showSerName val="0"/>
            <c:showPercent val="1"/>
            <c:showBubbleSize val="0"/>
            <c:showLeaderLines val="1"/>
          </c:dLbls>
          <c:cat>
            <c:strRef>
              <c:f>Gráficas!$B$40:$B$43</c:f>
              <c:strCache>
                <c:ptCount val="4"/>
                <c:pt idx="0">
                  <c:v>Puerta a puerta</c:v>
                </c:pt>
                <c:pt idx="1">
                  <c:v>Contenedores</c:v>
                </c:pt>
                <c:pt idx="2">
                  <c:v>Mixto</c:v>
                </c:pt>
                <c:pt idx="3">
                  <c:v>No responde</c:v>
                </c:pt>
              </c:strCache>
            </c:strRef>
          </c:cat>
          <c:val>
            <c:numRef>
              <c:f>Gráficas!$C$40:$C$43</c:f>
              <c:numCache>
                <c:formatCode>General</c:formatCode>
                <c:ptCount val="4"/>
                <c:pt idx="0">
                  <c:v>95</c:v>
                </c:pt>
                <c:pt idx="1">
                  <c:v>9</c:v>
                </c:pt>
                <c:pt idx="2">
                  <c:v>104</c:v>
                </c:pt>
                <c:pt idx="3">
                  <c:v>1</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sz="1400"/>
              <a:t>Cuenta</a:t>
            </a:r>
            <a:r>
              <a:rPr lang="es-CL" sz="1400" baseline="0"/>
              <a:t> con un plan de manejo de RSD?</a:t>
            </a:r>
            <a:endParaRPr lang="es-CL" sz="1400"/>
          </a:p>
        </c:rich>
      </c:tx>
      <c:overlay val="0"/>
    </c:title>
    <c:autoTitleDeleted val="0"/>
    <c:plotArea>
      <c:layout>
        <c:manualLayout>
          <c:layoutTarget val="inner"/>
          <c:xMode val="edge"/>
          <c:yMode val="edge"/>
          <c:x val="0.3290295275590564"/>
          <c:y val="0.22007910469524647"/>
          <c:w val="0.40860761154855646"/>
          <c:h val="0.68101268591425879"/>
        </c:manualLayout>
      </c:layout>
      <c:pieChart>
        <c:varyColors val="1"/>
        <c:ser>
          <c:idx val="0"/>
          <c:order val="0"/>
          <c:explosion val="25"/>
          <c:dLbls>
            <c:showLegendKey val="0"/>
            <c:showVal val="0"/>
            <c:showCatName val="0"/>
            <c:showSerName val="0"/>
            <c:showPercent val="1"/>
            <c:showBubbleSize val="0"/>
            <c:showLeaderLines val="1"/>
          </c:dLbls>
          <c:cat>
            <c:strRef>
              <c:f>Gráficas!$B$6:$B$7</c:f>
              <c:strCache>
                <c:ptCount val="2"/>
                <c:pt idx="0">
                  <c:v>Si</c:v>
                </c:pt>
                <c:pt idx="1">
                  <c:v>No</c:v>
                </c:pt>
              </c:strCache>
            </c:strRef>
          </c:cat>
          <c:val>
            <c:numRef>
              <c:f>Gráficas!$C$6:$C$7</c:f>
              <c:numCache>
                <c:formatCode>General</c:formatCode>
                <c:ptCount val="2"/>
                <c:pt idx="0">
                  <c:v>44</c:v>
                </c:pt>
                <c:pt idx="1">
                  <c:v>165</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29</Pages>
  <Words>6660</Words>
  <Characters>36634</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43208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Sebastián Gómez Zuñiga</cp:lastModifiedBy>
  <cp:revision>1</cp:revision>
  <dcterms:created xsi:type="dcterms:W3CDTF">2014-12-01T07:58:00Z</dcterms:created>
  <dcterms:modified xsi:type="dcterms:W3CDTF">2015-07-08T20:39:00Z</dcterms:modified>
</cp:coreProperties>
</file>